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AB550" w14:textId="2DA06165" w:rsidR="00CF5813" w:rsidRDefault="00CF5813" w:rsidP="00CF5813">
      <w:pPr>
        <w:pStyle w:val="Heading1"/>
      </w:pPr>
      <w:r>
        <w:t xml:space="preserve">Pre-/Post-test Module </w:t>
      </w:r>
      <w:r>
        <w:t>2</w:t>
      </w:r>
      <w:r>
        <w:t xml:space="preserve">: </w:t>
      </w:r>
      <w:r>
        <w:t>Evaluating Environmental and Health Risks</w:t>
      </w:r>
    </w:p>
    <w:p w14:paraId="46EA7BBA" w14:textId="77777777" w:rsidR="00CF5813" w:rsidRPr="00061991" w:rsidRDefault="00CF5813" w:rsidP="00CF5813">
      <w:pPr>
        <w:pStyle w:val="Heading2"/>
      </w:pPr>
      <w:r>
        <w:t>Instructor Copy, with Answer Key</w:t>
      </w:r>
    </w:p>
    <w:p w14:paraId="64F2BA37" w14:textId="77777777" w:rsidR="0068767C" w:rsidRDefault="0068767C" w:rsidP="00CF5813">
      <w:pPr>
        <w:rPr>
          <w:rFonts w:eastAsia="Times New Roman" w:cstheme="minorHAnsi"/>
          <w:b/>
          <w:bCs/>
          <w:iCs/>
          <w:lang w:val="en"/>
        </w:rPr>
      </w:pPr>
    </w:p>
    <w:p w14:paraId="1718D55C" w14:textId="584B89CF" w:rsidR="00CF5813" w:rsidRPr="00061991" w:rsidRDefault="00CF5813" w:rsidP="00CF5813">
      <w:pPr>
        <w:rPr>
          <w:rFonts w:eastAsia="Times New Roman" w:cstheme="minorHAnsi"/>
          <w:b/>
          <w:bCs/>
          <w:iCs/>
          <w:lang w:val="en"/>
        </w:rPr>
      </w:pPr>
      <w:r w:rsidRPr="00061991">
        <w:rPr>
          <w:rFonts w:eastAsia="Times New Roman" w:cstheme="minorHAnsi"/>
          <w:b/>
          <w:bCs/>
          <w:iCs/>
          <w:lang w:val="en"/>
        </w:rPr>
        <w:t>Pre/Post-test</w:t>
      </w:r>
    </w:p>
    <w:p w14:paraId="2EBDDEE0" w14:textId="77777777" w:rsidR="00CF5813" w:rsidRPr="00061991" w:rsidRDefault="00CF5813" w:rsidP="00CF5813">
      <w:pPr>
        <w:rPr>
          <w:rFonts w:eastAsia="Times New Roman" w:cstheme="minorHAnsi"/>
          <w:b/>
          <w:bCs/>
          <w:i/>
          <w:iCs/>
          <w:lang w:val="en"/>
        </w:rPr>
      </w:pPr>
      <w:r w:rsidRPr="00061991">
        <w:rPr>
          <w:rFonts w:eastAsia="Times New Roman" w:cstheme="minorHAnsi"/>
          <w:b/>
          <w:bCs/>
          <w:i/>
          <w:iCs/>
          <w:lang w:val="en"/>
        </w:rPr>
        <w:t>NOTE: post-test contains Self-assessment questionnaire</w:t>
      </w:r>
    </w:p>
    <w:p w14:paraId="5BE7F509" w14:textId="77777777" w:rsidR="00CF5813" w:rsidRPr="00061991" w:rsidRDefault="00CF5813" w:rsidP="00CF5813">
      <w:pPr>
        <w:rPr>
          <w:rFonts w:cstheme="minorHAnsi"/>
          <w:b/>
        </w:rPr>
      </w:pPr>
      <w:r w:rsidRPr="00061991">
        <w:rPr>
          <w:rFonts w:cstheme="minorHAnsi"/>
          <w:b/>
        </w:rPr>
        <w:t xml:space="preserve">Self-assessment: </w:t>
      </w:r>
      <w:r w:rsidRPr="005D2FF5">
        <w:rPr>
          <w:rFonts w:cstheme="minorHAnsi"/>
          <w:b/>
          <w:highlight w:val="yellow"/>
        </w:rPr>
        <w:t>Answer this only during the post-test.</w:t>
      </w:r>
    </w:p>
    <w:p w14:paraId="6CB053BA" w14:textId="707A31A5" w:rsidR="00CF5813" w:rsidRPr="00061991" w:rsidRDefault="00CF5813" w:rsidP="00CF5813">
      <w:pPr>
        <w:pStyle w:val="paragraph"/>
        <w:textAlignment w:val="baseline"/>
        <w:rPr>
          <w:rFonts w:asciiTheme="minorHAnsi" w:hAnsiTheme="minorHAnsi" w:cstheme="minorHAnsi"/>
          <w:sz w:val="22"/>
          <w:szCs w:val="22"/>
        </w:rPr>
      </w:pPr>
      <w:r w:rsidRPr="00061991">
        <w:rPr>
          <w:rStyle w:val="normaltextrun1"/>
          <w:rFonts w:asciiTheme="minorHAnsi" w:hAnsiTheme="minorHAnsi" w:cstheme="minorHAnsi"/>
          <w:sz w:val="22"/>
          <w:szCs w:val="22"/>
        </w:rPr>
        <w:t xml:space="preserve">In reference to the </w:t>
      </w:r>
      <w:r>
        <w:rPr>
          <w:rStyle w:val="normaltextrun1"/>
          <w:rFonts w:asciiTheme="minorHAnsi" w:hAnsiTheme="minorHAnsi" w:cstheme="minorHAnsi"/>
          <w:sz w:val="22"/>
          <w:szCs w:val="22"/>
        </w:rPr>
        <w:t>Evaluating Environmental and Health Risks</w:t>
      </w:r>
      <w:r w:rsidRPr="00061991">
        <w:rPr>
          <w:rStyle w:val="normaltextrun1"/>
          <w:rFonts w:asciiTheme="minorHAnsi" w:hAnsiTheme="minorHAnsi" w:cstheme="minorHAnsi"/>
          <w:sz w:val="22"/>
          <w:szCs w:val="22"/>
        </w:rPr>
        <w:t xml:space="preserve"> module, please choose all that apply:</w:t>
      </w:r>
      <w:r w:rsidRPr="00061991">
        <w:rPr>
          <w:rStyle w:val="eop"/>
          <w:rFonts w:asciiTheme="minorHAnsi" w:hAnsiTheme="minorHAnsi" w:cstheme="minorHAnsi"/>
          <w:sz w:val="22"/>
          <w:szCs w:val="22"/>
        </w:rPr>
        <w:t> </w:t>
      </w:r>
    </w:p>
    <w:p w14:paraId="4388F145" w14:textId="77777777" w:rsidR="00CF5813" w:rsidRPr="00061991" w:rsidRDefault="00CF5813" w:rsidP="00CF5813">
      <w:pPr>
        <w:pStyle w:val="paragraph"/>
        <w:ind w:left="720"/>
        <w:textAlignment w:val="baseline"/>
        <w:rPr>
          <w:rFonts w:asciiTheme="minorHAnsi" w:hAnsiTheme="minorHAnsi" w:cstheme="minorHAnsi"/>
          <w:sz w:val="22"/>
          <w:szCs w:val="22"/>
        </w:rPr>
      </w:pPr>
      <w:r w:rsidRPr="00061991">
        <w:rPr>
          <w:rStyle w:val="eop"/>
          <w:rFonts w:asciiTheme="minorHAnsi" w:hAnsiTheme="minorHAnsi" w:cstheme="minorHAnsi"/>
          <w:sz w:val="22"/>
          <w:szCs w:val="22"/>
        </w:rPr>
        <w:t> </w:t>
      </w:r>
    </w:p>
    <w:p w14:paraId="779CB0B7" w14:textId="2DFD5AF1" w:rsidR="00CF5813" w:rsidRDefault="00CF5813" w:rsidP="00CF5813">
      <w:pPr>
        <w:pStyle w:val="paragraph"/>
        <w:numPr>
          <w:ilvl w:val="0"/>
          <w:numId w:val="23"/>
        </w:numPr>
        <w:textAlignment w:val="baseline"/>
        <w:rPr>
          <w:rStyle w:val="eop"/>
          <w:rFonts w:asciiTheme="minorHAnsi" w:hAnsiTheme="minorHAnsi" w:cstheme="minorHAnsi"/>
          <w:sz w:val="22"/>
          <w:szCs w:val="22"/>
        </w:rPr>
      </w:pPr>
      <w:proofErr w:type="gramStart"/>
      <w:r w:rsidRPr="00061991">
        <w:rPr>
          <w:rStyle w:val="normaltextrun1"/>
          <w:rFonts w:asciiTheme="minorHAnsi" w:hAnsiTheme="minorHAnsi" w:cstheme="minorHAnsi"/>
          <w:sz w:val="22"/>
          <w:szCs w:val="22"/>
        </w:rPr>
        <w:t>Specifi</w:t>
      </w:r>
      <w:r w:rsidR="0068767C">
        <w:rPr>
          <w:rStyle w:val="normaltextrun1"/>
          <w:rFonts w:asciiTheme="minorHAnsi" w:hAnsiTheme="minorHAnsi" w:cstheme="minorHAnsi"/>
          <w:sz w:val="22"/>
          <w:szCs w:val="22"/>
        </w:rPr>
        <w:t>cal</w:t>
      </w:r>
      <w:r w:rsidRPr="00061991">
        <w:rPr>
          <w:rStyle w:val="normaltextrun1"/>
          <w:rFonts w:asciiTheme="minorHAnsi" w:hAnsiTheme="minorHAnsi" w:cstheme="minorHAnsi"/>
          <w:sz w:val="22"/>
          <w:szCs w:val="22"/>
        </w:rPr>
        <w:t>ly</w:t>
      </w:r>
      <w:proofErr w:type="gramEnd"/>
      <w:r w:rsidRPr="00061991">
        <w:rPr>
          <w:rStyle w:val="normaltextrun1"/>
          <w:rFonts w:asciiTheme="minorHAnsi" w:hAnsiTheme="minorHAnsi" w:cstheme="minorHAnsi"/>
          <w:sz w:val="22"/>
          <w:szCs w:val="22"/>
        </w:rPr>
        <w:t xml:space="preserve"> useful for my work. If so, you can describe how here (optional): _______________________________________________________________</w:t>
      </w:r>
      <w:r w:rsidRPr="00061991">
        <w:rPr>
          <w:rStyle w:val="eop"/>
          <w:rFonts w:asciiTheme="minorHAnsi" w:hAnsiTheme="minorHAnsi" w:cstheme="minorHAnsi"/>
          <w:sz w:val="22"/>
          <w:szCs w:val="22"/>
        </w:rPr>
        <w:t> </w:t>
      </w:r>
    </w:p>
    <w:p w14:paraId="513455B7" w14:textId="77777777" w:rsidR="00CF5813" w:rsidRDefault="00CF5813" w:rsidP="00CF5813">
      <w:pPr>
        <w:pStyle w:val="paragraph"/>
        <w:textAlignment w:val="baseline"/>
        <w:rPr>
          <w:rStyle w:val="eop"/>
          <w:rFonts w:asciiTheme="minorHAnsi" w:hAnsiTheme="minorHAnsi" w:cstheme="minorHAnsi"/>
          <w:sz w:val="22"/>
          <w:szCs w:val="22"/>
        </w:rPr>
      </w:pPr>
    </w:p>
    <w:p w14:paraId="5FC9236C" w14:textId="77777777" w:rsidR="00CF5813" w:rsidRDefault="00CF5813" w:rsidP="00CF5813">
      <w:pPr>
        <w:pStyle w:val="paragraph"/>
        <w:ind w:left="108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_______________________________________________________________</w:t>
      </w:r>
    </w:p>
    <w:p w14:paraId="4260CD30" w14:textId="77777777" w:rsidR="00CF5813" w:rsidRPr="00061991" w:rsidRDefault="00CF5813" w:rsidP="00CF5813">
      <w:pPr>
        <w:pStyle w:val="paragraph"/>
        <w:ind w:left="1080"/>
        <w:textAlignment w:val="baseline"/>
        <w:rPr>
          <w:rFonts w:asciiTheme="minorHAnsi" w:hAnsiTheme="minorHAnsi" w:cstheme="minorHAnsi"/>
          <w:sz w:val="22"/>
          <w:szCs w:val="22"/>
        </w:rPr>
      </w:pPr>
    </w:p>
    <w:p w14:paraId="16AC73F2" w14:textId="77777777" w:rsidR="00CF5813" w:rsidRDefault="00CF5813" w:rsidP="00CF5813">
      <w:pPr>
        <w:pStyle w:val="paragraph"/>
        <w:numPr>
          <w:ilvl w:val="0"/>
          <w:numId w:val="23"/>
        </w:numPr>
        <w:textAlignment w:val="baseline"/>
        <w:rPr>
          <w:rStyle w:val="eop"/>
          <w:rFonts w:asciiTheme="minorHAnsi" w:hAnsiTheme="minorHAnsi" w:cstheme="minorHAnsi"/>
          <w:sz w:val="22"/>
          <w:szCs w:val="22"/>
        </w:rPr>
      </w:pPr>
      <w:r w:rsidRPr="00061991">
        <w:rPr>
          <w:rStyle w:val="normaltextrun1"/>
          <w:rFonts w:asciiTheme="minorHAnsi" w:hAnsiTheme="minorHAnsi" w:cstheme="minorHAnsi"/>
          <w:sz w:val="22"/>
          <w:szCs w:val="22"/>
        </w:rPr>
        <w:t>Quick refresher</w:t>
      </w:r>
      <w:r w:rsidRPr="00061991">
        <w:rPr>
          <w:rStyle w:val="eop"/>
          <w:rFonts w:asciiTheme="minorHAnsi" w:hAnsiTheme="minorHAnsi" w:cstheme="minorHAnsi"/>
          <w:sz w:val="22"/>
          <w:szCs w:val="22"/>
        </w:rPr>
        <w:t> </w:t>
      </w:r>
    </w:p>
    <w:p w14:paraId="70E8C5A8" w14:textId="77777777" w:rsidR="00CF5813" w:rsidRPr="00061991" w:rsidRDefault="00CF5813" w:rsidP="00CF5813">
      <w:pPr>
        <w:pStyle w:val="paragraph"/>
        <w:textAlignment w:val="baseline"/>
        <w:rPr>
          <w:rFonts w:asciiTheme="minorHAnsi" w:hAnsiTheme="minorHAnsi" w:cstheme="minorHAnsi"/>
          <w:sz w:val="22"/>
          <w:szCs w:val="22"/>
        </w:rPr>
      </w:pPr>
    </w:p>
    <w:p w14:paraId="2CF3A775" w14:textId="77777777" w:rsidR="00CF5813" w:rsidRDefault="00CF5813" w:rsidP="00CF5813">
      <w:pPr>
        <w:pStyle w:val="paragraph"/>
        <w:numPr>
          <w:ilvl w:val="0"/>
          <w:numId w:val="23"/>
        </w:numPr>
        <w:textAlignment w:val="baseline"/>
        <w:rPr>
          <w:rStyle w:val="normaltextrun1"/>
          <w:rFonts w:asciiTheme="minorHAnsi" w:hAnsiTheme="minorHAnsi" w:cstheme="minorHAnsi"/>
          <w:sz w:val="22"/>
          <w:szCs w:val="22"/>
        </w:rPr>
      </w:pPr>
      <w:r w:rsidRPr="00061991">
        <w:rPr>
          <w:rStyle w:val="normaltextrun1"/>
          <w:rFonts w:asciiTheme="minorHAnsi" w:hAnsiTheme="minorHAnsi" w:cstheme="minorHAnsi"/>
          <w:sz w:val="22"/>
          <w:szCs w:val="22"/>
        </w:rPr>
        <w:t>Offers me knowledge about a topic I am less familiar with</w:t>
      </w:r>
    </w:p>
    <w:p w14:paraId="1A6BFCDC" w14:textId="77777777" w:rsidR="00CF5813" w:rsidRPr="00061991" w:rsidRDefault="00CF5813" w:rsidP="00CF5813">
      <w:pPr>
        <w:pStyle w:val="paragraph"/>
        <w:textAlignment w:val="baseline"/>
        <w:rPr>
          <w:rFonts w:asciiTheme="minorHAnsi" w:hAnsiTheme="minorHAnsi" w:cstheme="minorHAnsi"/>
          <w:sz w:val="22"/>
          <w:szCs w:val="22"/>
        </w:rPr>
      </w:pPr>
      <w:r w:rsidRPr="00061991">
        <w:rPr>
          <w:rStyle w:val="eop"/>
          <w:rFonts w:asciiTheme="minorHAnsi" w:hAnsiTheme="minorHAnsi" w:cstheme="minorHAnsi"/>
          <w:sz w:val="22"/>
          <w:szCs w:val="22"/>
        </w:rPr>
        <w:t> </w:t>
      </w:r>
    </w:p>
    <w:p w14:paraId="3BD05718" w14:textId="77777777" w:rsidR="00CF5813" w:rsidRDefault="00CF5813" w:rsidP="00CF5813">
      <w:pPr>
        <w:pStyle w:val="paragraph"/>
        <w:numPr>
          <w:ilvl w:val="0"/>
          <w:numId w:val="23"/>
        </w:numPr>
        <w:textAlignment w:val="baseline"/>
        <w:rPr>
          <w:rStyle w:val="eop"/>
          <w:rFonts w:asciiTheme="minorHAnsi" w:hAnsiTheme="minorHAnsi" w:cstheme="minorHAnsi"/>
          <w:sz w:val="22"/>
          <w:szCs w:val="22"/>
        </w:rPr>
      </w:pPr>
      <w:r w:rsidRPr="00061991">
        <w:rPr>
          <w:rStyle w:val="normaltextrun1"/>
          <w:rFonts w:asciiTheme="minorHAnsi" w:hAnsiTheme="minorHAnsi" w:cstheme="minorHAnsi"/>
          <w:sz w:val="22"/>
          <w:szCs w:val="22"/>
        </w:rPr>
        <w:t>Gives me confidence to increase my skills in and understanding of community engagement related to land reuse sites</w:t>
      </w:r>
      <w:r w:rsidRPr="00061991">
        <w:rPr>
          <w:rStyle w:val="eop"/>
          <w:rFonts w:asciiTheme="minorHAnsi" w:hAnsiTheme="minorHAnsi" w:cstheme="minorHAnsi"/>
          <w:sz w:val="22"/>
          <w:szCs w:val="22"/>
        </w:rPr>
        <w:t> </w:t>
      </w:r>
    </w:p>
    <w:p w14:paraId="42A9FF06" w14:textId="77777777" w:rsidR="00CF5813" w:rsidRPr="00061991" w:rsidRDefault="00CF5813" w:rsidP="00CF5813">
      <w:pPr>
        <w:pStyle w:val="paragraph"/>
        <w:textAlignment w:val="baseline"/>
        <w:rPr>
          <w:rFonts w:asciiTheme="minorHAnsi" w:hAnsiTheme="minorHAnsi" w:cstheme="minorHAnsi"/>
          <w:sz w:val="22"/>
          <w:szCs w:val="22"/>
        </w:rPr>
      </w:pPr>
    </w:p>
    <w:p w14:paraId="0EA951B7" w14:textId="77777777" w:rsidR="00CF5813" w:rsidRDefault="00CF5813" w:rsidP="00CF5813">
      <w:pPr>
        <w:pStyle w:val="paragraph"/>
        <w:numPr>
          <w:ilvl w:val="0"/>
          <w:numId w:val="23"/>
        </w:numPr>
        <w:textAlignment w:val="baseline"/>
        <w:rPr>
          <w:rStyle w:val="eop"/>
          <w:rFonts w:asciiTheme="minorHAnsi" w:hAnsiTheme="minorHAnsi" w:cstheme="minorHAnsi"/>
          <w:sz w:val="22"/>
          <w:szCs w:val="22"/>
        </w:rPr>
      </w:pPr>
      <w:r w:rsidRPr="00061991">
        <w:rPr>
          <w:rStyle w:val="normaltextrun1"/>
          <w:rFonts w:asciiTheme="minorHAnsi" w:hAnsiTheme="minorHAnsi" w:cstheme="minorHAnsi"/>
          <w:sz w:val="22"/>
          <w:szCs w:val="22"/>
        </w:rPr>
        <w:t>Motivates me to learn more about land reuse sites and ways I can be engaged</w:t>
      </w:r>
      <w:r w:rsidRPr="00061991">
        <w:rPr>
          <w:rStyle w:val="eop"/>
          <w:rFonts w:asciiTheme="minorHAnsi" w:hAnsiTheme="minorHAnsi" w:cstheme="minorHAnsi"/>
          <w:sz w:val="22"/>
          <w:szCs w:val="22"/>
        </w:rPr>
        <w:t> </w:t>
      </w:r>
    </w:p>
    <w:p w14:paraId="10B0865E" w14:textId="77777777" w:rsidR="00CF5813" w:rsidRPr="00061991" w:rsidRDefault="00CF5813" w:rsidP="00CF5813">
      <w:pPr>
        <w:pStyle w:val="paragraph"/>
        <w:textAlignment w:val="baseline"/>
        <w:rPr>
          <w:rFonts w:asciiTheme="minorHAnsi" w:hAnsiTheme="minorHAnsi" w:cstheme="minorHAnsi"/>
          <w:sz w:val="22"/>
          <w:szCs w:val="22"/>
        </w:rPr>
      </w:pPr>
    </w:p>
    <w:p w14:paraId="5F1F700E" w14:textId="77777777" w:rsidR="00CF5813" w:rsidRDefault="00CF5813" w:rsidP="00CF5813">
      <w:pPr>
        <w:pStyle w:val="paragraph"/>
        <w:numPr>
          <w:ilvl w:val="0"/>
          <w:numId w:val="23"/>
        </w:numPr>
        <w:textAlignment w:val="baseline"/>
        <w:rPr>
          <w:rStyle w:val="eop"/>
          <w:rFonts w:asciiTheme="minorHAnsi" w:hAnsiTheme="minorHAnsi" w:cstheme="minorHAnsi"/>
          <w:sz w:val="22"/>
          <w:szCs w:val="22"/>
        </w:rPr>
      </w:pPr>
      <w:r w:rsidRPr="00061991">
        <w:rPr>
          <w:rStyle w:val="normaltextrun1"/>
          <w:rFonts w:asciiTheme="minorHAnsi" w:hAnsiTheme="minorHAnsi" w:cstheme="minorHAnsi"/>
          <w:sz w:val="22"/>
          <w:szCs w:val="22"/>
        </w:rPr>
        <w:t>Not needed for my work</w:t>
      </w:r>
      <w:r w:rsidRPr="00061991">
        <w:rPr>
          <w:rStyle w:val="eop"/>
          <w:rFonts w:asciiTheme="minorHAnsi" w:hAnsiTheme="minorHAnsi" w:cstheme="minorHAnsi"/>
          <w:sz w:val="22"/>
          <w:szCs w:val="22"/>
        </w:rPr>
        <w:t> </w:t>
      </w:r>
    </w:p>
    <w:p w14:paraId="541AB3DC" w14:textId="77777777" w:rsidR="00CF5813" w:rsidRPr="00061991" w:rsidRDefault="00CF5813" w:rsidP="00CF5813">
      <w:pPr>
        <w:pStyle w:val="paragraph"/>
        <w:textAlignment w:val="baseline"/>
        <w:rPr>
          <w:rFonts w:asciiTheme="minorHAnsi" w:hAnsiTheme="minorHAnsi" w:cstheme="minorHAnsi"/>
          <w:sz w:val="22"/>
          <w:szCs w:val="22"/>
        </w:rPr>
      </w:pPr>
    </w:p>
    <w:p w14:paraId="1F72D28B" w14:textId="77777777" w:rsidR="00CF5813" w:rsidRDefault="00CF5813" w:rsidP="00CF5813">
      <w:pPr>
        <w:pStyle w:val="paragraph"/>
        <w:numPr>
          <w:ilvl w:val="0"/>
          <w:numId w:val="23"/>
        </w:numPr>
        <w:textAlignment w:val="baseline"/>
        <w:rPr>
          <w:rStyle w:val="eop"/>
          <w:rFonts w:asciiTheme="minorHAnsi" w:hAnsiTheme="minorHAnsi" w:cstheme="minorHAnsi"/>
          <w:sz w:val="22"/>
          <w:szCs w:val="22"/>
        </w:rPr>
      </w:pPr>
      <w:r w:rsidRPr="00061991">
        <w:rPr>
          <w:rStyle w:val="normaltextrun1"/>
          <w:rFonts w:asciiTheme="minorHAnsi" w:hAnsiTheme="minorHAnsi" w:cstheme="minorHAnsi"/>
          <w:sz w:val="22"/>
          <w:szCs w:val="22"/>
        </w:rPr>
        <w:t>None of the above</w:t>
      </w:r>
      <w:r w:rsidRPr="00061991">
        <w:rPr>
          <w:rStyle w:val="eop"/>
          <w:rFonts w:asciiTheme="minorHAnsi" w:hAnsiTheme="minorHAnsi" w:cstheme="minorHAnsi"/>
          <w:sz w:val="22"/>
          <w:szCs w:val="22"/>
        </w:rPr>
        <w:t> </w:t>
      </w:r>
    </w:p>
    <w:p w14:paraId="1303ED40" w14:textId="77777777" w:rsidR="00CF5813" w:rsidRPr="00061991" w:rsidRDefault="00CF5813" w:rsidP="00CF5813">
      <w:pPr>
        <w:pStyle w:val="paragraph"/>
        <w:textAlignment w:val="baseline"/>
        <w:rPr>
          <w:rFonts w:asciiTheme="minorHAnsi" w:hAnsiTheme="minorHAnsi" w:cstheme="minorHAnsi"/>
          <w:sz w:val="22"/>
          <w:szCs w:val="22"/>
        </w:rPr>
      </w:pPr>
    </w:p>
    <w:p w14:paraId="18B1600F" w14:textId="77777777" w:rsidR="00CF5813" w:rsidRDefault="00CF5813" w:rsidP="00CF5813">
      <w:pPr>
        <w:pStyle w:val="paragraph"/>
        <w:numPr>
          <w:ilvl w:val="0"/>
          <w:numId w:val="23"/>
        </w:numPr>
        <w:textAlignment w:val="baseline"/>
        <w:rPr>
          <w:rStyle w:val="eop"/>
          <w:rFonts w:asciiTheme="minorHAnsi" w:hAnsiTheme="minorHAnsi" w:cstheme="minorHAnsi"/>
          <w:sz w:val="22"/>
          <w:szCs w:val="22"/>
        </w:rPr>
      </w:pPr>
      <w:r w:rsidRPr="00061991">
        <w:rPr>
          <w:rStyle w:val="normaltextrun1"/>
          <w:rFonts w:asciiTheme="minorHAnsi" w:hAnsiTheme="minorHAnsi" w:cstheme="minorHAnsi"/>
          <w:sz w:val="22"/>
          <w:szCs w:val="22"/>
        </w:rPr>
        <w:t>Other (please specify) ______________________________________________ </w:t>
      </w:r>
      <w:r w:rsidRPr="00061991">
        <w:rPr>
          <w:rStyle w:val="eop"/>
          <w:rFonts w:asciiTheme="minorHAnsi" w:hAnsiTheme="minorHAnsi" w:cstheme="minorHAnsi"/>
          <w:sz w:val="22"/>
          <w:szCs w:val="22"/>
        </w:rPr>
        <w:t> </w:t>
      </w:r>
    </w:p>
    <w:p w14:paraId="67BECE94" w14:textId="77777777" w:rsidR="00CF5813" w:rsidRPr="00061991" w:rsidRDefault="00CF5813" w:rsidP="00CF5813">
      <w:pPr>
        <w:pStyle w:val="paragraph"/>
        <w:ind w:left="720" w:firstLine="360"/>
        <w:textAlignment w:val="baseline"/>
        <w:rPr>
          <w:rFonts w:asciiTheme="minorHAnsi" w:hAnsiTheme="minorHAnsi" w:cstheme="minorHAnsi"/>
          <w:sz w:val="22"/>
          <w:szCs w:val="22"/>
        </w:rPr>
      </w:pPr>
    </w:p>
    <w:p w14:paraId="1E07E746" w14:textId="77777777" w:rsidR="00CF5813" w:rsidRPr="00061991" w:rsidRDefault="00CF5813" w:rsidP="00CF5813">
      <w:pPr>
        <w:pStyle w:val="paragraph"/>
        <w:ind w:left="1080"/>
        <w:textAlignment w:val="baseline"/>
        <w:rPr>
          <w:rFonts w:asciiTheme="minorHAnsi" w:hAnsiTheme="minorHAnsi" w:cstheme="minorHAnsi"/>
          <w:sz w:val="22"/>
          <w:szCs w:val="22"/>
        </w:rPr>
      </w:pPr>
      <w:r w:rsidRPr="00061991">
        <w:rPr>
          <w:rStyle w:val="normaltextrun1"/>
          <w:rFonts w:asciiTheme="minorHAnsi" w:hAnsiTheme="minorHAnsi" w:cstheme="minorHAnsi"/>
          <w:sz w:val="22"/>
          <w:szCs w:val="22"/>
        </w:rPr>
        <w:t>________________________________________________________________</w:t>
      </w:r>
      <w:r w:rsidRPr="00061991">
        <w:rPr>
          <w:rStyle w:val="eop"/>
          <w:rFonts w:asciiTheme="minorHAnsi" w:hAnsiTheme="minorHAnsi" w:cstheme="minorHAnsi"/>
          <w:sz w:val="22"/>
          <w:szCs w:val="22"/>
        </w:rPr>
        <w:t> </w:t>
      </w:r>
    </w:p>
    <w:p w14:paraId="3040244C" w14:textId="77777777" w:rsidR="00CF5813" w:rsidRPr="00061991" w:rsidRDefault="00CF5813" w:rsidP="00CF5813">
      <w:pPr>
        <w:pStyle w:val="paragraph"/>
        <w:textAlignment w:val="baseline"/>
        <w:rPr>
          <w:rFonts w:asciiTheme="minorHAnsi" w:hAnsiTheme="minorHAnsi" w:cstheme="minorHAnsi"/>
          <w:sz w:val="22"/>
          <w:szCs w:val="22"/>
        </w:rPr>
      </w:pPr>
      <w:r w:rsidRPr="00061991">
        <w:rPr>
          <w:rStyle w:val="eop"/>
          <w:rFonts w:asciiTheme="minorHAnsi" w:hAnsiTheme="minorHAnsi" w:cstheme="minorHAnsi"/>
          <w:sz w:val="22"/>
          <w:szCs w:val="22"/>
        </w:rPr>
        <w:t> </w:t>
      </w:r>
    </w:p>
    <w:p w14:paraId="27BD5678" w14:textId="77777777" w:rsidR="00CF5813" w:rsidRPr="00061991" w:rsidRDefault="00CF5813" w:rsidP="00CF5813">
      <w:pPr>
        <w:rPr>
          <w:rFonts w:cstheme="minorHAnsi"/>
          <w:b/>
        </w:rPr>
      </w:pPr>
    </w:p>
    <w:p w14:paraId="25AB11C9" w14:textId="77777777" w:rsidR="00CF5813" w:rsidRPr="00061991" w:rsidRDefault="00CF5813" w:rsidP="00CF5813">
      <w:pPr>
        <w:rPr>
          <w:rFonts w:cstheme="minorHAnsi"/>
          <w:b/>
        </w:rPr>
      </w:pPr>
      <w:r w:rsidRPr="00061991">
        <w:rPr>
          <w:rFonts w:cstheme="minorHAnsi"/>
          <w:b/>
        </w:rPr>
        <w:t>Minimum Passing Score: _</w:t>
      </w:r>
      <w:r w:rsidRPr="00061991">
        <w:rPr>
          <w:rFonts w:cstheme="minorHAnsi"/>
          <w:b/>
        </w:rPr>
        <w:softHyphen/>
      </w:r>
      <w:r>
        <w:rPr>
          <w:rFonts w:cstheme="minorHAnsi"/>
          <w:b/>
          <w:u w:val="single"/>
        </w:rPr>
        <w:t>7</w:t>
      </w:r>
      <w:r w:rsidRPr="00061991">
        <w:rPr>
          <w:rFonts w:cstheme="minorHAnsi"/>
          <w:b/>
          <w:u w:val="single"/>
        </w:rPr>
        <w:t>0% (</w:t>
      </w:r>
      <w:r>
        <w:rPr>
          <w:rFonts w:cstheme="minorHAnsi"/>
          <w:b/>
          <w:u w:val="single"/>
        </w:rPr>
        <w:t>7</w:t>
      </w:r>
      <w:r w:rsidRPr="00061991">
        <w:rPr>
          <w:rFonts w:cstheme="minorHAnsi"/>
          <w:b/>
          <w:u w:val="single"/>
        </w:rPr>
        <w:t xml:space="preserve"> out of 10)</w:t>
      </w:r>
      <w:r w:rsidRPr="00061991">
        <w:rPr>
          <w:rFonts w:cstheme="minorHAnsi"/>
          <w:b/>
        </w:rPr>
        <w:t xml:space="preserve"> </w:t>
      </w:r>
      <w:r w:rsidRPr="00061991">
        <w:rPr>
          <w:rFonts w:cstheme="minorHAnsi"/>
          <w:b/>
        </w:rPr>
        <w:softHyphen/>
        <w:t xml:space="preserve"> </w:t>
      </w:r>
    </w:p>
    <w:p w14:paraId="42018798" w14:textId="6CA5C298" w:rsidR="00CF5813" w:rsidRDefault="00CF5813" w:rsidP="00CF5813">
      <w:r w:rsidRPr="00061991">
        <w:rPr>
          <w:rFonts w:cstheme="minorHAnsi"/>
          <w:b/>
        </w:rPr>
        <w:t>Allow multiple</w:t>
      </w:r>
      <w:r>
        <w:rPr>
          <w:rFonts w:cstheme="minorHAnsi"/>
          <w:b/>
        </w:rPr>
        <w:t xml:space="preserve"> </w:t>
      </w:r>
      <w:r w:rsidRPr="00061991">
        <w:rPr>
          <w:rFonts w:cstheme="minorHAnsi"/>
          <w:b/>
        </w:rPr>
        <w:t xml:space="preserve">retakes? </w:t>
      </w:r>
      <w:r w:rsidRPr="00061991">
        <w:rPr>
          <w:rFonts w:cstheme="minorHAnsi"/>
          <w:b/>
          <w:u w:val="single"/>
        </w:rPr>
        <w:t>(Y/</w:t>
      </w:r>
      <w:proofErr w:type="gramStart"/>
      <w:r w:rsidRPr="00061991">
        <w:rPr>
          <w:rFonts w:cstheme="minorHAnsi"/>
          <w:b/>
          <w:u w:val="single"/>
        </w:rPr>
        <w:t>N)</w:t>
      </w:r>
      <w:r w:rsidRPr="00061991">
        <w:rPr>
          <w:rFonts w:cstheme="minorHAnsi"/>
          <w:b/>
        </w:rPr>
        <w:t xml:space="preserve">  Yes</w:t>
      </w:r>
      <w:proofErr w:type="gramEnd"/>
      <w:r w:rsidRPr="00061991">
        <w:rPr>
          <w:rFonts w:cstheme="minorHAnsi"/>
          <w:b/>
        </w:rPr>
        <w:t xml:space="preserve">  </w:t>
      </w:r>
    </w:p>
    <w:p w14:paraId="6E6B459E" w14:textId="77777777" w:rsidR="00CF5813" w:rsidRDefault="00CF5813" w:rsidP="00560E8B">
      <w:pPr>
        <w:pStyle w:val="Title3"/>
        <w:pBdr>
          <w:bottom w:val="single" w:sz="4" w:space="1" w:color="auto"/>
        </w:pBdr>
        <w:spacing w:after="60"/>
        <w:jc w:val="left"/>
        <w:rPr>
          <w:sz w:val="22"/>
          <w:szCs w:val="22"/>
        </w:rPr>
      </w:pPr>
    </w:p>
    <w:p w14:paraId="20425DB6" w14:textId="23220EFD" w:rsidR="00F637FF" w:rsidRPr="0063303E" w:rsidRDefault="00CF5813" w:rsidP="00527115">
      <w:pPr>
        <w:spacing w:after="0" w:line="240" w:lineRule="auto"/>
        <w:rPr>
          <w:highlight w:val="yellow"/>
        </w:rPr>
      </w:pPr>
      <w:r>
        <w:rPr>
          <w:highlight w:val="yellow"/>
        </w:rPr>
        <w:t xml:space="preserve"> </w:t>
      </w:r>
    </w:p>
    <w:p w14:paraId="2D11C54B" w14:textId="77777777" w:rsidR="00065E4C" w:rsidRDefault="00065E4C" w:rsidP="00C632C2">
      <w:pPr>
        <w:pStyle w:val="ListParagraph"/>
        <w:numPr>
          <w:ilvl w:val="0"/>
          <w:numId w:val="4"/>
        </w:numPr>
        <w:spacing w:before="240" w:after="0"/>
      </w:pPr>
      <w:r w:rsidRPr="00481AC6">
        <w:rPr>
          <w:b/>
        </w:rPr>
        <w:t>Tox</w:t>
      </w:r>
      <w:r w:rsidR="003E266F">
        <w:rPr>
          <w:b/>
        </w:rPr>
        <w:t>icity of a chemical contaminant</w:t>
      </w:r>
      <w:r w:rsidRPr="00481AC6">
        <w:rPr>
          <w:b/>
        </w:rPr>
        <w:t xml:space="preserve"> depends on (select the best answer)</w:t>
      </w:r>
      <w:r>
        <w:t>:</w:t>
      </w:r>
    </w:p>
    <w:p w14:paraId="1DCA8E3D" w14:textId="77777777" w:rsidR="00065E4C" w:rsidRDefault="00065E4C" w:rsidP="00065E4C">
      <w:pPr>
        <w:pStyle w:val="ListParagraph"/>
        <w:numPr>
          <w:ilvl w:val="1"/>
          <w:numId w:val="4"/>
        </w:numPr>
        <w:spacing w:before="240" w:after="0"/>
      </w:pPr>
      <w:r>
        <w:t>Dose</w:t>
      </w:r>
      <w:r w:rsidR="00481AC6">
        <w:t xml:space="preserve"> (the amount of substance that enters the body)</w:t>
      </w:r>
      <w:r>
        <w:t>, route of exposure, duration of exposure (frequency), proximity</w:t>
      </w:r>
      <w:r w:rsidR="003E5A79">
        <w:t xml:space="preserve"> to exposure</w:t>
      </w:r>
    </w:p>
    <w:p w14:paraId="7EBF7247" w14:textId="77777777" w:rsidR="00065E4C" w:rsidRDefault="00065E4C" w:rsidP="00065E4C">
      <w:pPr>
        <w:pStyle w:val="ListParagraph"/>
        <w:numPr>
          <w:ilvl w:val="1"/>
          <w:numId w:val="4"/>
        </w:numPr>
        <w:spacing w:before="240" w:after="0"/>
      </w:pPr>
      <w:r>
        <w:t>Dose</w:t>
      </w:r>
      <w:r w:rsidR="00481AC6">
        <w:t xml:space="preserve"> (the amount of substance that enters the body)</w:t>
      </w:r>
      <w:r>
        <w:t>, route of exposure, duration of exposure (frequency), individual factors (health status, sex, genetics, etc.)</w:t>
      </w:r>
    </w:p>
    <w:p w14:paraId="11900FDF" w14:textId="77777777" w:rsidR="00065E4C" w:rsidRDefault="00065E4C" w:rsidP="00065E4C">
      <w:pPr>
        <w:pStyle w:val="ListParagraph"/>
        <w:numPr>
          <w:ilvl w:val="1"/>
          <w:numId w:val="4"/>
        </w:numPr>
        <w:spacing w:before="240" w:after="0"/>
      </w:pPr>
      <w:r>
        <w:lastRenderedPageBreak/>
        <w:t>Dose</w:t>
      </w:r>
      <w:r w:rsidR="00481AC6">
        <w:t xml:space="preserve"> (the amount of substance that enters the body)</w:t>
      </w:r>
      <w:r>
        <w:t xml:space="preserve"> route of exposure, duration of exposure (frequency), shape and structure of the substance (three-dimensional shape of a molecule), proximity</w:t>
      </w:r>
    </w:p>
    <w:p w14:paraId="5EBD9E13" w14:textId="77777777" w:rsidR="00065E4C" w:rsidRPr="00065E4C" w:rsidRDefault="00065E4C" w:rsidP="00065E4C">
      <w:pPr>
        <w:pStyle w:val="ListParagraph"/>
        <w:numPr>
          <w:ilvl w:val="1"/>
          <w:numId w:val="4"/>
        </w:numPr>
        <w:spacing w:before="240" w:after="0"/>
        <w:rPr>
          <w:highlight w:val="yellow"/>
        </w:rPr>
      </w:pPr>
      <w:r w:rsidRPr="00065E4C">
        <w:rPr>
          <w:highlight w:val="yellow"/>
        </w:rPr>
        <w:t>Dose</w:t>
      </w:r>
      <w:r w:rsidR="00481AC6">
        <w:rPr>
          <w:highlight w:val="yellow"/>
        </w:rPr>
        <w:t xml:space="preserve"> </w:t>
      </w:r>
      <w:r w:rsidR="00481AC6" w:rsidRPr="00481AC6">
        <w:rPr>
          <w:highlight w:val="yellow"/>
        </w:rPr>
        <w:t>(the amount of substance that enters the body)</w:t>
      </w:r>
      <w:r w:rsidRPr="00481AC6">
        <w:rPr>
          <w:highlight w:val="yellow"/>
        </w:rPr>
        <w:t xml:space="preserve">, </w:t>
      </w:r>
      <w:r w:rsidRPr="00065E4C">
        <w:rPr>
          <w:highlight w:val="yellow"/>
        </w:rPr>
        <w:t>route of exposure, duration of exposure (frequency), individual factors (health status, sex, genetics, etc.), shape and structure of the substance (three-dimensional shape of a molecule)</w:t>
      </w:r>
    </w:p>
    <w:p w14:paraId="0DF012E0" w14:textId="77777777" w:rsidR="0068767C" w:rsidRDefault="0068767C" w:rsidP="003E266F">
      <w:pPr>
        <w:pStyle w:val="ListParagraph"/>
        <w:spacing w:after="0" w:line="240" w:lineRule="auto"/>
        <w:ind w:left="360"/>
        <w:rPr>
          <w:b/>
        </w:rPr>
      </w:pPr>
    </w:p>
    <w:p w14:paraId="088D8EA7" w14:textId="6B96A976" w:rsidR="003E266F" w:rsidRPr="003E266F" w:rsidRDefault="003E266F" w:rsidP="003E266F">
      <w:pPr>
        <w:pStyle w:val="ListParagraph"/>
        <w:spacing w:after="0" w:line="240" w:lineRule="auto"/>
        <w:ind w:left="360"/>
        <w:rPr>
          <w:b/>
        </w:rPr>
      </w:pPr>
      <w:r w:rsidRPr="003E266F">
        <w:rPr>
          <w:b/>
        </w:rPr>
        <w:t>Answer: d.</w:t>
      </w:r>
    </w:p>
    <w:p w14:paraId="39A65D1B" w14:textId="77777777" w:rsidR="003E266F" w:rsidRPr="003E266F" w:rsidRDefault="003E266F" w:rsidP="003E266F">
      <w:pPr>
        <w:pStyle w:val="Default"/>
        <w:ind w:left="360"/>
        <w:rPr>
          <w:rFonts w:ascii="Calibri" w:hAnsi="Calibri" w:cs="Calibri"/>
          <w:sz w:val="22"/>
          <w:szCs w:val="22"/>
        </w:rPr>
      </w:pPr>
      <w:r w:rsidRPr="00065E4C">
        <w:rPr>
          <w:rFonts w:ascii="Calibri" w:hAnsi="Calibri" w:cs="Calibri"/>
          <w:b/>
          <w:sz w:val="22"/>
          <w:szCs w:val="22"/>
        </w:rPr>
        <w:t>Rationale:</w:t>
      </w:r>
      <w:r>
        <w:rPr>
          <w:rFonts w:ascii="Calibri" w:hAnsi="Calibri" w:cs="Calibri"/>
          <w:b/>
          <w:sz w:val="22"/>
          <w:szCs w:val="22"/>
        </w:rPr>
        <w:t xml:space="preserve"> </w:t>
      </w:r>
      <w:r>
        <w:rPr>
          <w:rFonts w:ascii="Calibri" w:hAnsi="Calibri" w:cs="Calibri"/>
          <w:sz w:val="22"/>
          <w:szCs w:val="22"/>
        </w:rPr>
        <w:t xml:space="preserve">Toxicity describes the degree to which a substance is poisonous or can cause injury. </w:t>
      </w:r>
      <w:r w:rsidRPr="00065E4C">
        <w:rPr>
          <w:rFonts w:ascii="Calibri" w:hAnsi="Calibri" w:cs="Calibri"/>
          <w:sz w:val="22"/>
          <w:szCs w:val="22"/>
        </w:rPr>
        <w:t>Toxicity depends on a variety of factors: d</w:t>
      </w:r>
      <w:r>
        <w:rPr>
          <w:rFonts w:ascii="Calibri" w:hAnsi="Calibri" w:cs="Calibri"/>
          <w:sz w:val="22"/>
          <w:szCs w:val="22"/>
        </w:rPr>
        <w:t>ose (the amount of substance that enters the body), duration, route of exposure</w:t>
      </w:r>
      <w:r w:rsidRPr="00065E4C">
        <w:rPr>
          <w:rFonts w:ascii="Calibri" w:hAnsi="Calibri" w:cs="Calibri"/>
          <w:sz w:val="22"/>
          <w:szCs w:val="22"/>
        </w:rPr>
        <w:t xml:space="preserve">, shape and structure of the substance itself (the three-dimensional shape of a molecule), and individual human factors such as differences in health status, sex, </w:t>
      </w:r>
      <w:r>
        <w:rPr>
          <w:rFonts w:ascii="Calibri" w:hAnsi="Calibri" w:cs="Calibri"/>
          <w:sz w:val="22"/>
          <w:szCs w:val="22"/>
        </w:rPr>
        <w:t xml:space="preserve">and genetics. </w:t>
      </w:r>
    </w:p>
    <w:p w14:paraId="3E4EB6BE" w14:textId="77777777" w:rsidR="003E266F" w:rsidRPr="003E266F" w:rsidRDefault="003E266F" w:rsidP="003E266F">
      <w:pPr>
        <w:pStyle w:val="ListParagraph"/>
        <w:numPr>
          <w:ilvl w:val="0"/>
          <w:numId w:val="4"/>
        </w:numPr>
        <w:spacing w:before="240" w:after="0"/>
      </w:pPr>
      <w:r>
        <w:rPr>
          <w:b/>
        </w:rPr>
        <w:t>In land reuse site assessment and cleanup, people from multiple disciplines can be involved, such as environmental professionals, health professionals, planners, toxicologists, and epidemiologists.</w:t>
      </w:r>
    </w:p>
    <w:p w14:paraId="6CC55A02" w14:textId="77777777" w:rsidR="003E266F" w:rsidRPr="003E266F" w:rsidRDefault="003E266F" w:rsidP="003E266F">
      <w:pPr>
        <w:pStyle w:val="ListParagraph"/>
        <w:numPr>
          <w:ilvl w:val="1"/>
          <w:numId w:val="4"/>
        </w:numPr>
        <w:spacing w:before="240" w:after="0"/>
        <w:rPr>
          <w:highlight w:val="yellow"/>
        </w:rPr>
      </w:pPr>
      <w:r w:rsidRPr="003E266F">
        <w:rPr>
          <w:highlight w:val="yellow"/>
        </w:rPr>
        <w:t>True</w:t>
      </w:r>
    </w:p>
    <w:p w14:paraId="6A1AE766" w14:textId="77777777" w:rsidR="003E266F" w:rsidRPr="003E266F" w:rsidRDefault="003E266F" w:rsidP="003E266F">
      <w:pPr>
        <w:pStyle w:val="ListParagraph"/>
        <w:numPr>
          <w:ilvl w:val="1"/>
          <w:numId w:val="4"/>
        </w:numPr>
        <w:spacing w:before="240" w:after="0"/>
      </w:pPr>
      <w:r w:rsidRPr="003E266F">
        <w:t>False</w:t>
      </w:r>
    </w:p>
    <w:p w14:paraId="252C2AD1" w14:textId="77777777" w:rsidR="00065E4C" w:rsidRDefault="00065E4C" w:rsidP="00065E4C">
      <w:pPr>
        <w:spacing w:after="0" w:line="240" w:lineRule="auto"/>
        <w:rPr>
          <w:b/>
        </w:rPr>
      </w:pPr>
    </w:p>
    <w:p w14:paraId="2A7369F2" w14:textId="77777777" w:rsidR="00065E4C" w:rsidRDefault="003E266F" w:rsidP="00065E4C">
      <w:pPr>
        <w:spacing w:after="0" w:line="240" w:lineRule="auto"/>
        <w:rPr>
          <w:b/>
        </w:rPr>
      </w:pPr>
      <w:r>
        <w:rPr>
          <w:b/>
        </w:rPr>
        <w:t xml:space="preserve">Answer:  a. </w:t>
      </w:r>
    </w:p>
    <w:p w14:paraId="28B43079" w14:textId="77777777" w:rsidR="00065E4C" w:rsidRPr="00D425A2" w:rsidRDefault="003E266F" w:rsidP="00D425A2">
      <w:pPr>
        <w:spacing w:after="0" w:line="240" w:lineRule="auto"/>
        <w:rPr>
          <w:rFonts w:ascii="Calibri" w:hAnsi="Calibri" w:cs="Calibri"/>
        </w:rPr>
      </w:pPr>
      <w:r>
        <w:rPr>
          <w:b/>
        </w:rPr>
        <w:t xml:space="preserve">Rationale: </w:t>
      </w:r>
      <w:r>
        <w:rPr>
          <w:rFonts w:ascii="Calibri" w:hAnsi="Calibri" w:cs="Calibri"/>
        </w:rPr>
        <w:t>If a land reuse s</w:t>
      </w:r>
      <w:r w:rsidRPr="003E266F">
        <w:rPr>
          <w:rFonts w:ascii="Calibri" w:hAnsi="Calibri" w:cs="Calibri"/>
        </w:rPr>
        <w:t xml:space="preserve">ite </w:t>
      </w:r>
      <w:r w:rsidR="009635F3">
        <w:rPr>
          <w:rFonts w:ascii="Calibri" w:hAnsi="Calibri" w:cs="Calibri"/>
        </w:rPr>
        <w:t>is being</w:t>
      </w:r>
      <w:r w:rsidRPr="003E266F">
        <w:rPr>
          <w:rFonts w:ascii="Calibri" w:hAnsi="Calibri" w:cs="Calibri"/>
        </w:rPr>
        <w:t xml:space="preserve"> evaluated for contamination, </w:t>
      </w:r>
      <w:r>
        <w:rPr>
          <w:rFonts w:ascii="Calibri" w:hAnsi="Calibri" w:cs="Calibri"/>
        </w:rPr>
        <w:t>you may work with environmental professionals who work for regulatory agencies, toxicologists, health assessors, planners</w:t>
      </w:r>
      <w:r w:rsidR="00153704">
        <w:rPr>
          <w:rFonts w:ascii="Calibri" w:hAnsi="Calibri" w:cs="Calibri"/>
        </w:rPr>
        <w:t xml:space="preserve">, and </w:t>
      </w:r>
      <w:r w:rsidR="009635F3">
        <w:rPr>
          <w:rFonts w:ascii="Calibri" w:hAnsi="Calibri" w:cs="Calibri"/>
        </w:rPr>
        <w:t>other environmental or health professionals.</w:t>
      </w:r>
      <w:r>
        <w:rPr>
          <w:rFonts w:ascii="Calibri" w:hAnsi="Calibri" w:cs="Calibri"/>
        </w:rPr>
        <w:t xml:space="preserve"> </w:t>
      </w:r>
      <w:r w:rsidRPr="003E266F">
        <w:rPr>
          <w:rFonts w:ascii="Calibri" w:hAnsi="Calibri" w:cs="Calibri"/>
        </w:rPr>
        <w:t>In 2017, for example, ATSDR funded 25 State Health Agencies</w:t>
      </w:r>
      <w:r w:rsidR="009635F3">
        <w:rPr>
          <w:rFonts w:ascii="Calibri" w:hAnsi="Calibri" w:cs="Calibri"/>
        </w:rPr>
        <w:t xml:space="preserve"> to respond</w:t>
      </w:r>
      <w:r w:rsidRPr="003E266F">
        <w:rPr>
          <w:rFonts w:ascii="Calibri" w:hAnsi="Calibri" w:cs="Calibri"/>
        </w:rPr>
        <w:t xml:space="preserve"> to harmful exposures in communities and educate the</w:t>
      </w:r>
      <w:r w:rsidR="009635F3">
        <w:rPr>
          <w:rFonts w:ascii="Calibri" w:hAnsi="Calibri" w:cs="Calibri"/>
        </w:rPr>
        <w:t xml:space="preserve"> public on exposure protection. ATSDR and State agency partners have conducted health assessments on thousands of land reuse sites. During this process, ATSDR or a State partners </w:t>
      </w:r>
      <w:r w:rsidRPr="003E266F">
        <w:rPr>
          <w:rFonts w:ascii="Calibri" w:hAnsi="Calibri" w:cs="Calibri"/>
        </w:rPr>
        <w:t>may review environmental data to determine potential adverse health effects on people who may live near or access a Land Reuse Site.</w:t>
      </w:r>
    </w:p>
    <w:p w14:paraId="23B45758" w14:textId="73BC545F" w:rsidR="00AF29F8" w:rsidRPr="00B41A3E" w:rsidRDefault="00B41A3E" w:rsidP="00C632C2">
      <w:pPr>
        <w:pStyle w:val="ListParagraph"/>
        <w:numPr>
          <w:ilvl w:val="0"/>
          <w:numId w:val="4"/>
        </w:numPr>
        <w:spacing w:before="240" w:after="0"/>
      </w:pPr>
      <w:r>
        <w:rPr>
          <w:b/>
        </w:rPr>
        <w:t xml:space="preserve">A Phase I </w:t>
      </w:r>
      <w:r w:rsidRPr="00B41A3E">
        <w:rPr>
          <w:b/>
        </w:rPr>
        <w:t>Environmental Assessment (ESA) is also called</w:t>
      </w:r>
      <w:r w:rsidR="006F308E">
        <w:rPr>
          <w:b/>
        </w:rPr>
        <w:t>:</w:t>
      </w:r>
      <w:r w:rsidR="004136B2" w:rsidRPr="00B41A3E">
        <w:rPr>
          <w:b/>
        </w:rPr>
        <w:t xml:space="preserve"> </w:t>
      </w:r>
      <w:r w:rsidR="006F308E" w:rsidRPr="006F308E">
        <w:rPr>
          <w:b/>
        </w:rPr>
        <w:t>(Select all that apply)</w:t>
      </w:r>
    </w:p>
    <w:p w14:paraId="58878616" w14:textId="77777777" w:rsidR="00AF29F8" w:rsidRPr="009635F3" w:rsidRDefault="009635F3" w:rsidP="00AF29F8">
      <w:pPr>
        <w:pStyle w:val="ListParagraph"/>
        <w:numPr>
          <w:ilvl w:val="1"/>
          <w:numId w:val="4"/>
        </w:numPr>
        <w:spacing w:before="240" w:after="0"/>
        <w:rPr>
          <w:highlight w:val="yellow"/>
        </w:rPr>
      </w:pPr>
      <w:r w:rsidRPr="009635F3">
        <w:rPr>
          <w:highlight w:val="yellow"/>
        </w:rPr>
        <w:t>Due diligence</w:t>
      </w:r>
    </w:p>
    <w:p w14:paraId="622FDFE5" w14:textId="77777777" w:rsidR="004136B2" w:rsidRPr="00B41A3E" w:rsidRDefault="009635F3" w:rsidP="00AF29F8">
      <w:pPr>
        <w:pStyle w:val="ListParagraph"/>
        <w:numPr>
          <w:ilvl w:val="1"/>
          <w:numId w:val="4"/>
        </w:numPr>
        <w:spacing w:before="240" w:after="0"/>
      </w:pPr>
      <w:r>
        <w:t>Initial client consult</w:t>
      </w:r>
    </w:p>
    <w:p w14:paraId="61AD2F3A" w14:textId="77777777" w:rsidR="004136B2" w:rsidRPr="009635F3" w:rsidRDefault="009635F3" w:rsidP="00AF29F8">
      <w:pPr>
        <w:pStyle w:val="ListParagraph"/>
        <w:numPr>
          <w:ilvl w:val="1"/>
          <w:numId w:val="4"/>
        </w:numPr>
        <w:spacing w:before="240" w:after="0"/>
        <w:rPr>
          <w:highlight w:val="yellow"/>
        </w:rPr>
      </w:pPr>
      <w:r w:rsidRPr="009635F3">
        <w:rPr>
          <w:highlight w:val="yellow"/>
        </w:rPr>
        <w:t>All Appropriate Inquiry</w:t>
      </w:r>
    </w:p>
    <w:p w14:paraId="4BF9B882" w14:textId="77777777" w:rsidR="009635F3" w:rsidRPr="00B41A3E" w:rsidRDefault="00153704" w:rsidP="00AF29F8">
      <w:pPr>
        <w:pStyle w:val="ListParagraph"/>
        <w:numPr>
          <w:ilvl w:val="1"/>
          <w:numId w:val="4"/>
        </w:numPr>
        <w:spacing w:before="240" w:after="0"/>
      </w:pPr>
      <w:r>
        <w:t>Initial e</w:t>
      </w:r>
      <w:r w:rsidR="009635F3">
        <w:t>nvironmental sampling effort</w:t>
      </w:r>
    </w:p>
    <w:p w14:paraId="46283768" w14:textId="77777777" w:rsidR="00AF29F8" w:rsidRPr="00AF29F8" w:rsidRDefault="00AF29F8" w:rsidP="00AF29F8">
      <w:pPr>
        <w:pStyle w:val="ListParagraph"/>
        <w:spacing w:before="240" w:after="0"/>
        <w:ind w:left="1080"/>
        <w:rPr>
          <w:highlight w:val="yellow"/>
        </w:rPr>
      </w:pPr>
    </w:p>
    <w:p w14:paraId="0FE26501" w14:textId="77777777" w:rsidR="00AF29F8" w:rsidRDefault="009635F3" w:rsidP="00AF29F8">
      <w:pPr>
        <w:spacing w:after="0" w:line="240" w:lineRule="auto"/>
        <w:rPr>
          <w:b/>
        </w:rPr>
      </w:pPr>
      <w:r>
        <w:rPr>
          <w:b/>
        </w:rPr>
        <w:t>Answer: a. and c.</w:t>
      </w:r>
    </w:p>
    <w:p w14:paraId="7B499121" w14:textId="77777777" w:rsidR="00D425A2" w:rsidRDefault="00AF29F8" w:rsidP="00D425A2">
      <w:pPr>
        <w:autoSpaceDE w:val="0"/>
        <w:autoSpaceDN w:val="0"/>
        <w:adjustRightInd w:val="0"/>
        <w:spacing w:after="100" w:line="241" w:lineRule="atLeast"/>
        <w:rPr>
          <w:rFonts w:ascii="Calibri" w:hAnsi="Calibri" w:cs="Calibri"/>
        </w:rPr>
      </w:pPr>
      <w:r>
        <w:rPr>
          <w:b/>
        </w:rPr>
        <w:t>Rational</w:t>
      </w:r>
      <w:r w:rsidR="004136B2">
        <w:rPr>
          <w:b/>
        </w:rPr>
        <w:t>e</w:t>
      </w:r>
      <w:r>
        <w:rPr>
          <w:b/>
        </w:rPr>
        <w:t xml:space="preserve">: </w:t>
      </w:r>
      <w:r w:rsidR="00D425A2" w:rsidRPr="00FE76D0">
        <w:rPr>
          <w:rFonts w:ascii="Calibri" w:hAnsi="Calibri" w:cs="Calibri"/>
        </w:rPr>
        <w:t xml:space="preserve">The two primary phases of the ESA process are designed to increase the level of understanding of the site condition. </w:t>
      </w:r>
      <w:r w:rsidR="00D425A2">
        <w:rPr>
          <w:rFonts w:ascii="Calibri" w:hAnsi="Calibri" w:cs="Calibri"/>
        </w:rPr>
        <w:t>Environmental Site Assessment (ESA)</w:t>
      </w:r>
      <w:r w:rsidR="00D425A2" w:rsidRPr="00FE76D0">
        <w:rPr>
          <w:rFonts w:ascii="Calibri" w:hAnsi="Calibri" w:cs="Calibri"/>
        </w:rPr>
        <w:t xml:space="preserve"> Phase I is sometimes referred to as “due diligence” or “all appropriate inquiry.” It identifies potential environmental concerns. </w:t>
      </w:r>
    </w:p>
    <w:p w14:paraId="0B4C9A8E" w14:textId="77777777" w:rsidR="00410FB4" w:rsidRDefault="00410FB4" w:rsidP="00410FB4">
      <w:pPr>
        <w:autoSpaceDE w:val="0"/>
        <w:autoSpaceDN w:val="0"/>
        <w:adjustRightInd w:val="0"/>
        <w:spacing w:after="100" w:line="241" w:lineRule="atLeast"/>
        <w:rPr>
          <w:rFonts w:ascii="Calibri" w:hAnsi="Calibri" w:cs="Calibri"/>
          <w:b/>
        </w:rPr>
      </w:pPr>
    </w:p>
    <w:p w14:paraId="1E97D50D" w14:textId="3FA94406" w:rsidR="008C641F" w:rsidRPr="00410FB4" w:rsidRDefault="00D425A2" w:rsidP="00410FB4">
      <w:pPr>
        <w:pStyle w:val="ListParagraph"/>
        <w:numPr>
          <w:ilvl w:val="0"/>
          <w:numId w:val="4"/>
        </w:numPr>
        <w:autoSpaceDE w:val="0"/>
        <w:autoSpaceDN w:val="0"/>
        <w:adjustRightInd w:val="0"/>
        <w:spacing w:after="100" w:line="241" w:lineRule="atLeast"/>
        <w:rPr>
          <w:rFonts w:ascii="Calibri" w:hAnsi="Calibri" w:cs="Calibri"/>
          <w:highlight w:val="yellow"/>
        </w:rPr>
      </w:pPr>
      <w:r w:rsidRPr="00410FB4">
        <w:rPr>
          <w:rFonts w:ascii="Calibri" w:hAnsi="Calibri" w:cs="Calibri"/>
          <w:b/>
        </w:rPr>
        <w:t xml:space="preserve">Which of the following are aspects </w:t>
      </w:r>
      <w:r w:rsidR="003A077D" w:rsidRPr="00410FB4">
        <w:rPr>
          <w:rFonts w:ascii="Calibri" w:hAnsi="Calibri" w:cs="Calibri"/>
          <w:b/>
        </w:rPr>
        <w:t xml:space="preserve">that are part </w:t>
      </w:r>
      <w:r w:rsidRPr="00410FB4">
        <w:rPr>
          <w:rFonts w:ascii="Calibri" w:hAnsi="Calibri" w:cs="Calibri"/>
          <w:b/>
        </w:rPr>
        <w:t xml:space="preserve">of a Phase I ESA? </w:t>
      </w:r>
      <w:r w:rsidR="006F308E" w:rsidRPr="00410FB4">
        <w:rPr>
          <w:rFonts w:ascii="Calibri" w:hAnsi="Calibri" w:cs="Calibri"/>
          <w:b/>
        </w:rPr>
        <w:t>(Select all that apply)</w:t>
      </w:r>
      <w:r w:rsidR="008C641F" w:rsidRPr="00410FB4">
        <w:rPr>
          <w:rFonts w:ascii="Calibri" w:hAnsi="Calibri" w:cs="Calibri"/>
          <w:b/>
        </w:rPr>
        <w:t xml:space="preserve"> </w:t>
      </w:r>
    </w:p>
    <w:p w14:paraId="669709A5" w14:textId="5CE02928" w:rsidR="00D425A2" w:rsidRPr="006F308E" w:rsidRDefault="00D425A2" w:rsidP="008C641F">
      <w:pPr>
        <w:pStyle w:val="ListParagraph"/>
        <w:numPr>
          <w:ilvl w:val="0"/>
          <w:numId w:val="22"/>
        </w:numPr>
        <w:autoSpaceDE w:val="0"/>
        <w:autoSpaceDN w:val="0"/>
        <w:adjustRightInd w:val="0"/>
        <w:spacing w:after="100" w:line="241" w:lineRule="atLeast"/>
        <w:rPr>
          <w:rFonts w:ascii="Calibri" w:hAnsi="Calibri" w:cs="Calibri"/>
          <w:highlight w:val="yellow"/>
        </w:rPr>
      </w:pPr>
      <w:r w:rsidRPr="006F308E">
        <w:rPr>
          <w:rFonts w:ascii="Calibri" w:hAnsi="Calibri" w:cs="Calibri"/>
          <w:highlight w:val="yellow"/>
        </w:rPr>
        <w:t>Geology and hydrogeology review</w:t>
      </w:r>
    </w:p>
    <w:p w14:paraId="4B59FA93" w14:textId="77777777" w:rsidR="00D425A2" w:rsidRPr="00D425A2" w:rsidRDefault="00D425A2" w:rsidP="008C641F">
      <w:pPr>
        <w:pStyle w:val="ListParagraph"/>
        <w:numPr>
          <w:ilvl w:val="0"/>
          <w:numId w:val="22"/>
        </w:numPr>
        <w:autoSpaceDE w:val="0"/>
        <w:autoSpaceDN w:val="0"/>
        <w:adjustRightInd w:val="0"/>
        <w:spacing w:after="100" w:line="241" w:lineRule="atLeast"/>
        <w:rPr>
          <w:rFonts w:ascii="Calibri" w:hAnsi="Calibri" w:cs="Calibri"/>
          <w:highlight w:val="yellow"/>
        </w:rPr>
      </w:pPr>
      <w:r w:rsidRPr="00D425A2">
        <w:rPr>
          <w:rFonts w:ascii="Calibri" w:hAnsi="Calibri" w:cs="Calibri"/>
          <w:highlight w:val="yellow"/>
        </w:rPr>
        <w:t>Review of aerial photographs and Sanborn maps</w:t>
      </w:r>
    </w:p>
    <w:p w14:paraId="55EEA800" w14:textId="46705AD8" w:rsidR="00D425A2" w:rsidRDefault="003A077D" w:rsidP="008C641F">
      <w:pPr>
        <w:pStyle w:val="ListParagraph"/>
        <w:numPr>
          <w:ilvl w:val="0"/>
          <w:numId w:val="22"/>
        </w:numPr>
        <w:autoSpaceDE w:val="0"/>
        <w:autoSpaceDN w:val="0"/>
        <w:adjustRightInd w:val="0"/>
        <w:spacing w:after="100" w:line="241" w:lineRule="atLeast"/>
        <w:rPr>
          <w:rFonts w:ascii="Calibri" w:hAnsi="Calibri" w:cs="Calibri"/>
        </w:rPr>
      </w:pPr>
      <w:r>
        <w:rPr>
          <w:rFonts w:ascii="Calibri" w:hAnsi="Calibri" w:cs="Calibri"/>
        </w:rPr>
        <w:t>S</w:t>
      </w:r>
      <w:r w:rsidR="00D425A2">
        <w:rPr>
          <w:rFonts w:ascii="Calibri" w:hAnsi="Calibri" w:cs="Calibri"/>
        </w:rPr>
        <w:t>oil and water samples</w:t>
      </w:r>
    </w:p>
    <w:p w14:paraId="3FAFF698" w14:textId="77777777" w:rsidR="008822CB" w:rsidRPr="008822CB" w:rsidRDefault="008822CB" w:rsidP="008C641F">
      <w:pPr>
        <w:pStyle w:val="ListParagraph"/>
        <w:numPr>
          <w:ilvl w:val="0"/>
          <w:numId w:val="22"/>
        </w:numPr>
        <w:autoSpaceDE w:val="0"/>
        <w:autoSpaceDN w:val="0"/>
        <w:adjustRightInd w:val="0"/>
        <w:spacing w:after="100" w:line="241" w:lineRule="atLeast"/>
        <w:rPr>
          <w:rFonts w:ascii="Calibri" w:hAnsi="Calibri" w:cs="Calibri"/>
        </w:rPr>
      </w:pPr>
      <w:r>
        <w:rPr>
          <w:rFonts w:ascii="Calibri" w:hAnsi="Calibri" w:cs="Calibri"/>
        </w:rPr>
        <w:t>Development of site sampling plan</w:t>
      </w:r>
    </w:p>
    <w:p w14:paraId="46D464F7" w14:textId="77777777" w:rsidR="00D425A2" w:rsidRPr="00D425A2" w:rsidRDefault="00D425A2" w:rsidP="008C641F">
      <w:pPr>
        <w:pStyle w:val="ListParagraph"/>
        <w:numPr>
          <w:ilvl w:val="0"/>
          <w:numId w:val="22"/>
        </w:numPr>
        <w:autoSpaceDE w:val="0"/>
        <w:autoSpaceDN w:val="0"/>
        <w:adjustRightInd w:val="0"/>
        <w:spacing w:after="100" w:line="241" w:lineRule="atLeast"/>
        <w:rPr>
          <w:rFonts w:ascii="Calibri" w:hAnsi="Calibri" w:cs="Calibri"/>
          <w:highlight w:val="yellow"/>
        </w:rPr>
      </w:pPr>
      <w:r w:rsidRPr="00D425A2">
        <w:rPr>
          <w:rFonts w:ascii="Calibri" w:hAnsi="Calibri" w:cs="Calibri"/>
          <w:highlight w:val="yellow"/>
        </w:rPr>
        <w:t xml:space="preserve">Interviews with </w:t>
      </w:r>
      <w:r w:rsidR="008822CB">
        <w:rPr>
          <w:rFonts w:ascii="Calibri" w:hAnsi="Calibri" w:cs="Calibri"/>
          <w:highlight w:val="yellow"/>
        </w:rPr>
        <w:t>neighbors</w:t>
      </w:r>
      <w:r w:rsidRPr="00D425A2">
        <w:rPr>
          <w:rFonts w:ascii="Calibri" w:hAnsi="Calibri" w:cs="Calibri"/>
          <w:highlight w:val="yellow"/>
        </w:rPr>
        <w:t xml:space="preserve"> and </w:t>
      </w:r>
      <w:r w:rsidR="008822CB">
        <w:rPr>
          <w:rFonts w:ascii="Calibri" w:hAnsi="Calibri" w:cs="Calibri"/>
          <w:highlight w:val="yellow"/>
        </w:rPr>
        <w:t xml:space="preserve">past </w:t>
      </w:r>
      <w:r w:rsidRPr="00D425A2">
        <w:rPr>
          <w:rFonts w:ascii="Calibri" w:hAnsi="Calibri" w:cs="Calibri"/>
          <w:highlight w:val="yellow"/>
        </w:rPr>
        <w:t>site owners</w:t>
      </w:r>
    </w:p>
    <w:p w14:paraId="6AD25221" w14:textId="73C92F28" w:rsidR="00D425A2" w:rsidRPr="00D425A2" w:rsidRDefault="00D425A2" w:rsidP="00D425A2">
      <w:pPr>
        <w:autoSpaceDE w:val="0"/>
        <w:autoSpaceDN w:val="0"/>
        <w:adjustRightInd w:val="0"/>
        <w:spacing w:after="0" w:line="240" w:lineRule="auto"/>
        <w:rPr>
          <w:rFonts w:ascii="Calibri" w:hAnsi="Calibri" w:cs="Calibri"/>
          <w:b/>
        </w:rPr>
      </w:pPr>
      <w:r w:rsidRPr="00D425A2">
        <w:rPr>
          <w:rFonts w:ascii="Calibri" w:hAnsi="Calibri" w:cs="Calibri"/>
          <w:b/>
        </w:rPr>
        <w:t>Answer: a., b.,</w:t>
      </w:r>
      <w:r w:rsidR="002247D6">
        <w:rPr>
          <w:rFonts w:ascii="Calibri" w:hAnsi="Calibri" w:cs="Calibri"/>
          <w:b/>
        </w:rPr>
        <w:t xml:space="preserve"> </w:t>
      </w:r>
      <w:r w:rsidR="00BF4E31">
        <w:rPr>
          <w:rFonts w:ascii="Calibri" w:hAnsi="Calibri" w:cs="Calibri"/>
          <w:b/>
        </w:rPr>
        <w:t xml:space="preserve">and </w:t>
      </w:r>
      <w:r w:rsidRPr="00D425A2">
        <w:rPr>
          <w:rFonts w:ascii="Calibri" w:hAnsi="Calibri" w:cs="Calibri"/>
          <w:b/>
        </w:rPr>
        <w:t>e</w:t>
      </w:r>
      <w:r w:rsidR="00BF4E31">
        <w:rPr>
          <w:rFonts w:ascii="Calibri" w:hAnsi="Calibri" w:cs="Calibri"/>
          <w:b/>
        </w:rPr>
        <w:t>.</w:t>
      </w:r>
    </w:p>
    <w:p w14:paraId="21A5B107" w14:textId="4E10CA5B" w:rsidR="00D425A2" w:rsidRDefault="00D425A2" w:rsidP="00D425A2">
      <w:pPr>
        <w:autoSpaceDE w:val="0"/>
        <w:autoSpaceDN w:val="0"/>
        <w:adjustRightInd w:val="0"/>
        <w:spacing w:after="0" w:line="240" w:lineRule="auto"/>
        <w:rPr>
          <w:rFonts w:ascii="Calibri" w:hAnsi="Calibri" w:cs="Calibri"/>
        </w:rPr>
      </w:pPr>
      <w:r w:rsidRPr="00D425A2">
        <w:rPr>
          <w:rFonts w:ascii="Calibri" w:hAnsi="Calibri" w:cs="Calibri"/>
          <w:b/>
        </w:rPr>
        <w:lastRenderedPageBreak/>
        <w:t>Rationale:</w:t>
      </w:r>
      <w:r>
        <w:rPr>
          <w:rFonts w:ascii="Calibri" w:hAnsi="Calibri" w:cs="Calibri"/>
        </w:rPr>
        <w:t xml:space="preserve"> A Phase I ESA is primarily a site history overview and typically does not involve sampling of environmental media.</w:t>
      </w:r>
      <w:r w:rsidR="008822CB">
        <w:rPr>
          <w:rFonts w:ascii="Calibri" w:hAnsi="Calibri" w:cs="Calibri"/>
        </w:rPr>
        <w:t xml:space="preserve"> A Phase I ESA provides an introductory framework for evaluating a site’s potential environmental contaminants. A geology/hydrogeology review (a.), review of aerial photographs and Sanborn maps (b.), and interviews with neighbors and past site owners</w:t>
      </w:r>
      <w:r w:rsidR="00261138">
        <w:rPr>
          <w:rFonts w:ascii="Calibri" w:hAnsi="Calibri" w:cs="Calibri"/>
        </w:rPr>
        <w:t xml:space="preserve"> (e.)</w:t>
      </w:r>
      <w:r w:rsidR="008822CB">
        <w:rPr>
          <w:rFonts w:ascii="Calibri" w:hAnsi="Calibri" w:cs="Calibri"/>
        </w:rPr>
        <w:t xml:space="preserve"> are all activities that are typically conducted during a Phase I ESA. Soil</w:t>
      </w:r>
      <w:r w:rsidR="002247D6">
        <w:rPr>
          <w:rFonts w:ascii="Calibri" w:hAnsi="Calibri" w:cs="Calibri"/>
        </w:rPr>
        <w:t>/water</w:t>
      </w:r>
      <w:r w:rsidR="008822CB">
        <w:rPr>
          <w:rFonts w:ascii="Calibri" w:hAnsi="Calibri" w:cs="Calibri"/>
        </w:rPr>
        <w:t xml:space="preserve"> sampling</w:t>
      </w:r>
      <w:r w:rsidR="000A7A22">
        <w:rPr>
          <w:rFonts w:ascii="Calibri" w:hAnsi="Calibri" w:cs="Calibri"/>
        </w:rPr>
        <w:t xml:space="preserve"> and development of </w:t>
      </w:r>
      <w:r w:rsidR="008822CB">
        <w:rPr>
          <w:rFonts w:ascii="Calibri" w:hAnsi="Calibri" w:cs="Calibri"/>
        </w:rPr>
        <w:t>a site sampling plan</w:t>
      </w:r>
      <w:r w:rsidR="000A7A22">
        <w:rPr>
          <w:rFonts w:ascii="Calibri" w:hAnsi="Calibri" w:cs="Calibri"/>
        </w:rPr>
        <w:t xml:space="preserve"> </w:t>
      </w:r>
      <w:r w:rsidR="008822CB">
        <w:rPr>
          <w:rFonts w:ascii="Calibri" w:hAnsi="Calibri" w:cs="Calibri"/>
        </w:rPr>
        <w:t>may be conducted during a Phase II ESA</w:t>
      </w:r>
      <w:r w:rsidR="00153704">
        <w:rPr>
          <w:rFonts w:ascii="Calibri" w:hAnsi="Calibri" w:cs="Calibri"/>
        </w:rPr>
        <w:t xml:space="preserve"> but are not pa</w:t>
      </w:r>
      <w:bookmarkStart w:id="0" w:name="_GoBack"/>
      <w:bookmarkEnd w:id="0"/>
      <w:r w:rsidR="00153704">
        <w:rPr>
          <w:rFonts w:ascii="Calibri" w:hAnsi="Calibri" w:cs="Calibri"/>
        </w:rPr>
        <w:t>rt of a Phase I ESA</w:t>
      </w:r>
      <w:r w:rsidR="008822CB">
        <w:rPr>
          <w:rFonts w:ascii="Calibri" w:hAnsi="Calibri" w:cs="Calibri"/>
        </w:rPr>
        <w:t xml:space="preserve">. </w:t>
      </w:r>
    </w:p>
    <w:p w14:paraId="6C8528E4" w14:textId="77777777" w:rsidR="008822CB" w:rsidRDefault="008822CB" w:rsidP="00D425A2">
      <w:pPr>
        <w:autoSpaceDE w:val="0"/>
        <w:autoSpaceDN w:val="0"/>
        <w:adjustRightInd w:val="0"/>
        <w:spacing w:after="0" w:line="240" w:lineRule="auto"/>
        <w:rPr>
          <w:rFonts w:ascii="Calibri" w:hAnsi="Calibri" w:cs="Calibri"/>
        </w:rPr>
      </w:pPr>
    </w:p>
    <w:p w14:paraId="4B7E9A61" w14:textId="15EF335A" w:rsidR="0072416D" w:rsidRPr="0072416D" w:rsidRDefault="0072416D" w:rsidP="0072416D">
      <w:pPr>
        <w:pStyle w:val="ListParagraph"/>
        <w:numPr>
          <w:ilvl w:val="0"/>
          <w:numId w:val="4"/>
        </w:numPr>
        <w:autoSpaceDE w:val="0"/>
        <w:autoSpaceDN w:val="0"/>
        <w:adjustRightInd w:val="0"/>
        <w:spacing w:after="100" w:line="241" w:lineRule="atLeast"/>
        <w:rPr>
          <w:rFonts w:ascii="Calibri" w:hAnsi="Calibri" w:cs="Calibri"/>
        </w:rPr>
      </w:pPr>
      <w:r>
        <w:rPr>
          <w:rFonts w:ascii="Calibri" w:hAnsi="Calibri" w:cs="Calibri"/>
          <w:b/>
        </w:rPr>
        <w:t xml:space="preserve">Which activities </w:t>
      </w:r>
      <w:r w:rsidR="007A073B">
        <w:rPr>
          <w:rFonts w:ascii="Calibri" w:hAnsi="Calibri" w:cs="Calibri"/>
          <w:b/>
        </w:rPr>
        <w:t>are</w:t>
      </w:r>
      <w:r>
        <w:rPr>
          <w:rFonts w:ascii="Calibri" w:hAnsi="Calibri" w:cs="Calibri"/>
          <w:b/>
        </w:rPr>
        <w:t xml:space="preserve"> included in a Phase II Environmental Site A</w:t>
      </w:r>
      <w:r w:rsidR="007A073B">
        <w:rPr>
          <w:rFonts w:ascii="Calibri" w:hAnsi="Calibri" w:cs="Calibri"/>
          <w:b/>
        </w:rPr>
        <w:t xml:space="preserve">ssessment (ESA)? </w:t>
      </w:r>
      <w:r w:rsidR="006F308E">
        <w:rPr>
          <w:rFonts w:ascii="Calibri" w:hAnsi="Calibri" w:cs="Calibri"/>
          <w:b/>
        </w:rPr>
        <w:t>(Select all that apply)</w:t>
      </w:r>
    </w:p>
    <w:p w14:paraId="52F55646" w14:textId="77777777" w:rsidR="0072416D" w:rsidRDefault="0072416D" w:rsidP="0072416D">
      <w:pPr>
        <w:pStyle w:val="ListParagraph"/>
        <w:numPr>
          <w:ilvl w:val="1"/>
          <w:numId w:val="4"/>
        </w:numPr>
        <w:autoSpaceDE w:val="0"/>
        <w:autoSpaceDN w:val="0"/>
        <w:adjustRightInd w:val="0"/>
        <w:spacing w:after="100" w:line="241" w:lineRule="atLeast"/>
        <w:rPr>
          <w:rFonts w:ascii="Calibri" w:hAnsi="Calibri" w:cs="Calibri"/>
        </w:rPr>
      </w:pPr>
      <w:r>
        <w:rPr>
          <w:rFonts w:ascii="Calibri" w:hAnsi="Calibri" w:cs="Calibri"/>
        </w:rPr>
        <w:t>Results of interviews with site owner that document past environmental practices, such as manifest records of hazardous waste transfer</w:t>
      </w:r>
      <w:r w:rsidR="007A073B">
        <w:rPr>
          <w:rFonts w:ascii="Calibri" w:hAnsi="Calibri" w:cs="Calibri"/>
        </w:rPr>
        <w:t>, documentation of community concerns, and regulatory reports or enforcement records</w:t>
      </w:r>
    </w:p>
    <w:p w14:paraId="28FBAFDF" w14:textId="77777777" w:rsidR="0072416D" w:rsidRPr="002A59E4" w:rsidRDefault="0072416D" w:rsidP="0072416D">
      <w:pPr>
        <w:pStyle w:val="ListParagraph"/>
        <w:numPr>
          <w:ilvl w:val="1"/>
          <w:numId w:val="4"/>
        </w:numPr>
        <w:autoSpaceDE w:val="0"/>
        <w:autoSpaceDN w:val="0"/>
        <w:adjustRightInd w:val="0"/>
        <w:spacing w:after="100" w:line="241" w:lineRule="atLeast"/>
        <w:rPr>
          <w:rFonts w:ascii="Calibri" w:hAnsi="Calibri" w:cs="Calibri"/>
          <w:highlight w:val="yellow"/>
        </w:rPr>
      </w:pPr>
      <w:r w:rsidRPr="002A59E4">
        <w:rPr>
          <w:rFonts w:ascii="Calibri" w:hAnsi="Calibri" w:cs="Calibri"/>
          <w:highlight w:val="yellow"/>
        </w:rPr>
        <w:t>Comprehensive site sampling plans, monitoring well installation tests, drum samples</w:t>
      </w:r>
    </w:p>
    <w:p w14:paraId="5A96BBD4" w14:textId="77777777" w:rsidR="007A073B" w:rsidRDefault="007A073B" w:rsidP="0072416D">
      <w:pPr>
        <w:pStyle w:val="ListParagraph"/>
        <w:numPr>
          <w:ilvl w:val="1"/>
          <w:numId w:val="4"/>
        </w:numPr>
        <w:autoSpaceDE w:val="0"/>
        <w:autoSpaceDN w:val="0"/>
        <w:adjustRightInd w:val="0"/>
        <w:spacing w:after="100" w:line="241" w:lineRule="atLeast"/>
        <w:rPr>
          <w:rFonts w:ascii="Calibri" w:hAnsi="Calibri" w:cs="Calibri"/>
        </w:rPr>
      </w:pPr>
      <w:r>
        <w:rPr>
          <w:rFonts w:ascii="Calibri" w:hAnsi="Calibri" w:cs="Calibri"/>
        </w:rPr>
        <w:t>A site map that shows evidence of oily stains</w:t>
      </w:r>
      <w:r w:rsidR="002A59E4">
        <w:rPr>
          <w:rFonts w:ascii="Calibri" w:hAnsi="Calibri" w:cs="Calibri"/>
        </w:rPr>
        <w:t>,</w:t>
      </w:r>
      <w:r>
        <w:rPr>
          <w:rFonts w:ascii="Calibri" w:hAnsi="Calibri" w:cs="Calibri"/>
        </w:rPr>
        <w:t xml:space="preserve"> drums left on site</w:t>
      </w:r>
      <w:r w:rsidR="002A59E4">
        <w:rPr>
          <w:rFonts w:ascii="Calibri" w:hAnsi="Calibri" w:cs="Calibri"/>
        </w:rPr>
        <w:t>, and other potential “hot spots”</w:t>
      </w:r>
    </w:p>
    <w:p w14:paraId="63B0883C" w14:textId="77777777" w:rsidR="007A073B" w:rsidRPr="002A59E4" w:rsidRDefault="007A073B" w:rsidP="007A073B">
      <w:pPr>
        <w:pStyle w:val="ListParagraph"/>
        <w:numPr>
          <w:ilvl w:val="1"/>
          <w:numId w:val="4"/>
        </w:numPr>
        <w:autoSpaceDE w:val="0"/>
        <w:autoSpaceDN w:val="0"/>
        <w:adjustRightInd w:val="0"/>
        <w:spacing w:after="100" w:line="241" w:lineRule="atLeast"/>
        <w:rPr>
          <w:rFonts w:ascii="Calibri" w:hAnsi="Calibri" w:cs="Calibri"/>
          <w:highlight w:val="yellow"/>
        </w:rPr>
      </w:pPr>
      <w:r w:rsidRPr="002A59E4">
        <w:rPr>
          <w:rFonts w:ascii="Calibri" w:hAnsi="Calibri" w:cs="Calibri"/>
          <w:highlight w:val="yellow"/>
        </w:rPr>
        <w:t>Conceptual site model to hypothesize how target analytes would have been released and migrated to the soil or groundwater</w:t>
      </w:r>
    </w:p>
    <w:p w14:paraId="066745EF" w14:textId="77777777" w:rsidR="0072416D" w:rsidRPr="002A59E4" w:rsidRDefault="002A59E4" w:rsidP="002A59E4">
      <w:pPr>
        <w:autoSpaceDE w:val="0"/>
        <w:autoSpaceDN w:val="0"/>
        <w:adjustRightInd w:val="0"/>
        <w:spacing w:after="0" w:line="240" w:lineRule="auto"/>
        <w:rPr>
          <w:rFonts w:ascii="Calibri" w:hAnsi="Calibri" w:cs="Calibri"/>
          <w:b/>
        </w:rPr>
      </w:pPr>
      <w:r w:rsidRPr="002A59E4">
        <w:rPr>
          <w:rFonts w:ascii="Calibri" w:hAnsi="Calibri" w:cs="Calibri"/>
          <w:b/>
        </w:rPr>
        <w:t>Answer: b., and d.</w:t>
      </w:r>
    </w:p>
    <w:p w14:paraId="42F29706" w14:textId="77777777" w:rsidR="00B53F04" w:rsidRDefault="002A59E4" w:rsidP="00B53F04">
      <w:pPr>
        <w:autoSpaceDE w:val="0"/>
        <w:autoSpaceDN w:val="0"/>
        <w:adjustRightInd w:val="0"/>
        <w:spacing w:after="0" w:line="240" w:lineRule="auto"/>
        <w:rPr>
          <w:rFonts w:ascii="Calibri" w:hAnsi="Calibri" w:cs="Calibri"/>
        </w:rPr>
      </w:pPr>
      <w:r w:rsidRPr="002A59E4">
        <w:rPr>
          <w:rFonts w:ascii="Calibri" w:hAnsi="Calibri" w:cs="Calibri"/>
          <w:b/>
        </w:rPr>
        <w:t xml:space="preserve">Rationale: </w:t>
      </w:r>
      <w:r w:rsidR="00B53F04">
        <w:t xml:space="preserve">Phase II </w:t>
      </w:r>
      <w:r w:rsidR="00153704">
        <w:t xml:space="preserve">ESA </w:t>
      </w:r>
      <w:r w:rsidR="00B53F04">
        <w:t xml:space="preserve">provides a more complete understanding of the contamination that may be present on the site. If a Phase II </w:t>
      </w:r>
      <w:r w:rsidR="00153704">
        <w:t xml:space="preserve">ESA </w:t>
      </w:r>
      <w:r w:rsidR="00B53F04">
        <w:t>is necessary, the following requirements must be met before taking action: Statement of Objectives, Conceptual Site Model (d.), and Written Report. A variety of environmental sampling may occur during the Phase II ESA, which can be dictated by site sampling plans, monitoring well installation tests, and drum samples, among other activities (e.g. soil or groundwater samples) (b.). Results of interviews and a site map showing evidence of oily stains, drums, and hot spots are activities that would typically happen during a Phase I ESA.</w:t>
      </w:r>
    </w:p>
    <w:p w14:paraId="6F9899AB" w14:textId="77777777" w:rsidR="0072416D" w:rsidRPr="0072416D" w:rsidRDefault="0072416D" w:rsidP="0072416D">
      <w:pPr>
        <w:autoSpaceDE w:val="0"/>
        <w:autoSpaceDN w:val="0"/>
        <w:adjustRightInd w:val="0"/>
        <w:spacing w:after="100" w:line="241" w:lineRule="atLeast"/>
        <w:rPr>
          <w:rFonts w:ascii="Calibri" w:hAnsi="Calibri" w:cs="Calibri"/>
        </w:rPr>
      </w:pPr>
    </w:p>
    <w:p w14:paraId="4C4C22D1" w14:textId="391AF765" w:rsidR="00D425A2" w:rsidRPr="0072416D" w:rsidRDefault="00B53F04" w:rsidP="0072416D">
      <w:pPr>
        <w:pStyle w:val="ListParagraph"/>
        <w:numPr>
          <w:ilvl w:val="0"/>
          <w:numId w:val="4"/>
        </w:numPr>
        <w:autoSpaceDE w:val="0"/>
        <w:autoSpaceDN w:val="0"/>
        <w:adjustRightInd w:val="0"/>
        <w:spacing w:after="100" w:line="241" w:lineRule="atLeast"/>
        <w:rPr>
          <w:rFonts w:ascii="Calibri" w:hAnsi="Calibri" w:cs="Calibri"/>
        </w:rPr>
      </w:pPr>
      <w:r>
        <w:rPr>
          <w:rFonts w:ascii="Calibri" w:hAnsi="Calibri" w:cs="Calibri"/>
          <w:b/>
        </w:rPr>
        <w:t xml:space="preserve">A tiered approach to cleanup ensures that the </w:t>
      </w:r>
      <w:r w:rsidR="003E5A79">
        <w:rPr>
          <w:rFonts w:ascii="Calibri" w:hAnsi="Calibri" w:cs="Calibri"/>
          <w:b/>
        </w:rPr>
        <w:t xml:space="preserve">assessment and </w:t>
      </w:r>
      <w:r>
        <w:rPr>
          <w:rFonts w:ascii="Calibri" w:hAnsi="Calibri" w:cs="Calibri"/>
          <w:b/>
        </w:rPr>
        <w:t xml:space="preserve">cleanup of a land reuse site </w:t>
      </w:r>
      <w:r w:rsidR="003A077D">
        <w:rPr>
          <w:rFonts w:ascii="Calibri" w:hAnsi="Calibri" w:cs="Calibri"/>
          <w:b/>
        </w:rPr>
        <w:t>is</w:t>
      </w:r>
      <w:r w:rsidR="004E74A0">
        <w:rPr>
          <w:rFonts w:ascii="Calibri" w:hAnsi="Calibri" w:cs="Calibri"/>
          <w:b/>
        </w:rPr>
        <w:t xml:space="preserve"> conducted by </w:t>
      </w:r>
      <w:r w:rsidR="003E5A79">
        <w:rPr>
          <w:rFonts w:ascii="Calibri" w:hAnsi="Calibri" w:cs="Calibri"/>
          <w:b/>
        </w:rPr>
        <w:t xml:space="preserve">environmental or health professionals following </w:t>
      </w:r>
      <w:r w:rsidR="003A077D">
        <w:rPr>
          <w:rFonts w:ascii="Calibri" w:hAnsi="Calibri" w:cs="Calibri"/>
          <w:b/>
        </w:rPr>
        <w:t>their best selection of</w:t>
      </w:r>
      <w:r w:rsidR="003E5A79">
        <w:rPr>
          <w:rFonts w:ascii="Calibri" w:hAnsi="Calibri" w:cs="Calibri"/>
          <w:b/>
        </w:rPr>
        <w:t xml:space="preserve"> sampling protocols</w:t>
      </w:r>
      <w:r>
        <w:rPr>
          <w:rFonts w:ascii="Calibri" w:hAnsi="Calibri" w:cs="Calibri"/>
          <w:b/>
        </w:rPr>
        <w:t>:</w:t>
      </w:r>
    </w:p>
    <w:p w14:paraId="1FE082C5" w14:textId="77777777" w:rsidR="0072416D" w:rsidRDefault="00B53F04" w:rsidP="0072416D">
      <w:pPr>
        <w:pStyle w:val="ListParagraph"/>
        <w:numPr>
          <w:ilvl w:val="1"/>
          <w:numId w:val="4"/>
        </w:numPr>
        <w:autoSpaceDE w:val="0"/>
        <w:autoSpaceDN w:val="0"/>
        <w:adjustRightInd w:val="0"/>
        <w:spacing w:after="100" w:line="241" w:lineRule="atLeast"/>
        <w:rPr>
          <w:rFonts w:ascii="Calibri" w:hAnsi="Calibri" w:cs="Calibri"/>
        </w:rPr>
      </w:pPr>
      <w:r>
        <w:rPr>
          <w:rFonts w:ascii="Calibri" w:hAnsi="Calibri" w:cs="Calibri"/>
        </w:rPr>
        <w:t>True</w:t>
      </w:r>
    </w:p>
    <w:p w14:paraId="0305870D" w14:textId="77777777" w:rsidR="00B53F04" w:rsidRPr="00B53F04" w:rsidRDefault="00B53F04" w:rsidP="0072416D">
      <w:pPr>
        <w:pStyle w:val="ListParagraph"/>
        <w:numPr>
          <w:ilvl w:val="1"/>
          <w:numId w:val="4"/>
        </w:numPr>
        <w:autoSpaceDE w:val="0"/>
        <w:autoSpaceDN w:val="0"/>
        <w:adjustRightInd w:val="0"/>
        <w:spacing w:after="100" w:line="241" w:lineRule="atLeast"/>
        <w:rPr>
          <w:rFonts w:ascii="Calibri" w:hAnsi="Calibri" w:cs="Calibri"/>
          <w:highlight w:val="yellow"/>
        </w:rPr>
      </w:pPr>
      <w:r w:rsidRPr="00B53F04">
        <w:rPr>
          <w:rFonts w:ascii="Calibri" w:hAnsi="Calibri" w:cs="Calibri"/>
          <w:highlight w:val="yellow"/>
        </w:rPr>
        <w:t>False</w:t>
      </w:r>
    </w:p>
    <w:p w14:paraId="061ABC24" w14:textId="77777777" w:rsidR="00AF29F8" w:rsidRDefault="00AF29F8" w:rsidP="00AF29F8">
      <w:pPr>
        <w:spacing w:after="0" w:line="240" w:lineRule="auto"/>
      </w:pPr>
    </w:p>
    <w:p w14:paraId="4AB07052" w14:textId="77777777" w:rsidR="00B53F04" w:rsidRPr="005F3091" w:rsidRDefault="00B53F04" w:rsidP="00AF29F8">
      <w:pPr>
        <w:spacing w:after="0" w:line="240" w:lineRule="auto"/>
        <w:rPr>
          <w:b/>
        </w:rPr>
      </w:pPr>
      <w:r w:rsidRPr="005F3091">
        <w:rPr>
          <w:b/>
        </w:rPr>
        <w:t>Answer: b.</w:t>
      </w:r>
    </w:p>
    <w:p w14:paraId="6DD1CFF2" w14:textId="77777777" w:rsidR="004E74A0" w:rsidRPr="004E74A0" w:rsidRDefault="00B53F04" w:rsidP="004E74A0">
      <w:pPr>
        <w:spacing w:after="0" w:line="240" w:lineRule="auto"/>
      </w:pPr>
      <w:r w:rsidRPr="005F3091">
        <w:rPr>
          <w:b/>
        </w:rPr>
        <w:t>Rationale:</w:t>
      </w:r>
      <w:r>
        <w:t xml:space="preserve"> A tiered approach to cleanup is a state program that incorporates </w:t>
      </w:r>
      <w:r w:rsidR="005F3091">
        <w:t xml:space="preserve">a </w:t>
      </w:r>
      <w:r>
        <w:t>risk-based approach to cleanu</w:t>
      </w:r>
      <w:r w:rsidR="005F3091">
        <w:t xml:space="preserve">p. </w:t>
      </w:r>
      <w:r w:rsidR="004E74A0">
        <w:t>Tier 1 consists of a qualitative risk-assessment based on general site assessment information. At this stage, data identifies obvious environmental impacts, such as sensitive receptors and significant exposure pathways. Tier 2 utilizes more site-specific data, such as characterization and monitoring, or plume migration. Tier 3 focuses completely on site-specific conditions, such as fate and transport phenomena or risk assessment modeling.</w:t>
      </w:r>
    </w:p>
    <w:p w14:paraId="2523637D" w14:textId="77777777" w:rsidR="00B53F04" w:rsidRDefault="00B53F04" w:rsidP="00AF29F8">
      <w:pPr>
        <w:spacing w:after="0" w:line="240" w:lineRule="auto"/>
      </w:pPr>
    </w:p>
    <w:p w14:paraId="59AC6D87" w14:textId="77777777" w:rsidR="00AF29F8" w:rsidRPr="00AF29F8" w:rsidRDefault="004E74A0" w:rsidP="00AF29F8">
      <w:pPr>
        <w:pStyle w:val="ListParagraph"/>
        <w:numPr>
          <w:ilvl w:val="0"/>
          <w:numId w:val="4"/>
        </w:numPr>
        <w:spacing w:after="0" w:line="240" w:lineRule="auto"/>
      </w:pPr>
      <w:r>
        <w:rPr>
          <w:b/>
        </w:rPr>
        <w:t>A Public H</w:t>
      </w:r>
      <w:r w:rsidR="00E110B4">
        <w:rPr>
          <w:b/>
        </w:rPr>
        <w:t xml:space="preserve">ealth Assessment is required </w:t>
      </w:r>
      <w:r>
        <w:rPr>
          <w:b/>
        </w:rPr>
        <w:t>at all types of land reuse sites</w:t>
      </w:r>
      <w:r w:rsidR="004136B2">
        <w:rPr>
          <w:b/>
        </w:rPr>
        <w:t>.</w:t>
      </w:r>
    </w:p>
    <w:p w14:paraId="46F2B9F2" w14:textId="77777777" w:rsidR="00AF29F8" w:rsidRDefault="00AF29F8" w:rsidP="00AF29F8">
      <w:pPr>
        <w:pStyle w:val="ListParagraph"/>
        <w:numPr>
          <w:ilvl w:val="1"/>
          <w:numId w:val="4"/>
        </w:numPr>
        <w:spacing w:after="0" w:line="240" w:lineRule="auto"/>
      </w:pPr>
      <w:r>
        <w:t>True</w:t>
      </w:r>
    </w:p>
    <w:p w14:paraId="68D453F3" w14:textId="77777777" w:rsidR="00AF29F8" w:rsidRPr="00AF29F8" w:rsidRDefault="00AF29F8" w:rsidP="00AF29F8">
      <w:pPr>
        <w:pStyle w:val="ListParagraph"/>
        <w:numPr>
          <w:ilvl w:val="1"/>
          <w:numId w:val="4"/>
        </w:numPr>
        <w:spacing w:after="0" w:line="240" w:lineRule="auto"/>
        <w:rPr>
          <w:highlight w:val="yellow"/>
        </w:rPr>
      </w:pPr>
      <w:r w:rsidRPr="00AF29F8">
        <w:rPr>
          <w:highlight w:val="yellow"/>
        </w:rPr>
        <w:t>False</w:t>
      </w:r>
    </w:p>
    <w:p w14:paraId="34A585B8" w14:textId="77777777" w:rsidR="00AF29F8" w:rsidRDefault="00AF29F8" w:rsidP="00AF29F8">
      <w:pPr>
        <w:spacing w:after="0" w:line="240" w:lineRule="auto"/>
      </w:pPr>
    </w:p>
    <w:p w14:paraId="4D07A1A9" w14:textId="77777777" w:rsidR="00AF29F8" w:rsidRDefault="00AF29F8" w:rsidP="00AF29F8">
      <w:pPr>
        <w:spacing w:after="0" w:line="240" w:lineRule="auto"/>
        <w:rPr>
          <w:b/>
        </w:rPr>
      </w:pPr>
      <w:r>
        <w:rPr>
          <w:b/>
        </w:rPr>
        <w:t>Answer: b., False</w:t>
      </w:r>
    </w:p>
    <w:p w14:paraId="38D1A49D" w14:textId="77777777" w:rsidR="00E110B4" w:rsidRPr="00E110B4" w:rsidRDefault="00AF29F8" w:rsidP="00E110B4">
      <w:pPr>
        <w:pStyle w:val="Default"/>
        <w:rPr>
          <w:rFonts w:ascii="Calibri" w:hAnsi="Calibri" w:cs="Calibri"/>
          <w:sz w:val="22"/>
          <w:szCs w:val="22"/>
        </w:rPr>
      </w:pPr>
      <w:r w:rsidRPr="004136B2">
        <w:rPr>
          <w:rFonts w:ascii="Calibri" w:hAnsi="Calibri" w:cs="Calibri"/>
          <w:b/>
          <w:sz w:val="22"/>
          <w:szCs w:val="22"/>
        </w:rPr>
        <w:t xml:space="preserve">Rationale: </w:t>
      </w:r>
      <w:r w:rsidR="00E110B4" w:rsidRPr="00E110B4">
        <w:rPr>
          <w:rFonts w:ascii="Calibri" w:hAnsi="Calibri" w:cs="Calibri"/>
          <w:sz w:val="22"/>
          <w:szCs w:val="22"/>
        </w:rPr>
        <w:t xml:space="preserve">Since 1986, ATSDR has been </w:t>
      </w:r>
      <w:r w:rsidR="00E110B4">
        <w:rPr>
          <w:rFonts w:ascii="Calibri" w:hAnsi="Calibri" w:cs="Calibri"/>
          <w:sz w:val="22"/>
          <w:szCs w:val="22"/>
        </w:rPr>
        <w:t>required by law to conduct a Public Health Assessment</w:t>
      </w:r>
      <w:r w:rsidR="00E110B4" w:rsidRPr="00E110B4">
        <w:rPr>
          <w:rFonts w:ascii="Calibri" w:hAnsi="Calibri" w:cs="Calibri"/>
          <w:sz w:val="22"/>
          <w:szCs w:val="22"/>
        </w:rPr>
        <w:t xml:space="preserve"> at each of the sites on the U.S. Environmental Protection Agency (EPA)</w:t>
      </w:r>
      <w:r w:rsidR="00E110B4" w:rsidRPr="00E110B4">
        <w:rPr>
          <w:rStyle w:val="A4"/>
          <w:rFonts w:ascii="Calibri" w:hAnsi="Calibri" w:cs="Calibri"/>
          <w:color w:val="auto"/>
          <w:sz w:val="22"/>
          <w:szCs w:val="22"/>
          <w:u w:val="none"/>
        </w:rPr>
        <w:t xml:space="preserve"> National Priorities List</w:t>
      </w:r>
      <w:r w:rsidR="00E110B4" w:rsidRPr="00E110B4">
        <w:rPr>
          <w:rFonts w:ascii="Calibri" w:hAnsi="Calibri" w:cs="Calibri"/>
          <w:sz w:val="22"/>
          <w:szCs w:val="22"/>
        </w:rPr>
        <w:t>. The aim of these evaluations is to find out if people are being exposed to hazardous substances and, if so, whether that exposure is harmful and should be stopped or reduced. Land reuse sites such as Brownfields are not listed on the EPA National Priorities List</w:t>
      </w:r>
      <w:r w:rsidR="00E110B4">
        <w:rPr>
          <w:rFonts w:ascii="Calibri" w:hAnsi="Calibri" w:cs="Calibri"/>
          <w:sz w:val="22"/>
          <w:szCs w:val="22"/>
        </w:rPr>
        <w:t xml:space="preserve"> and are not required to have a Public Health Assessment. </w:t>
      </w:r>
    </w:p>
    <w:p w14:paraId="5DA4FB2B" w14:textId="77777777" w:rsidR="00E110B4" w:rsidRPr="000F560B" w:rsidRDefault="00E110B4" w:rsidP="000F560B">
      <w:pPr>
        <w:pStyle w:val="Default"/>
        <w:rPr>
          <w:rFonts w:ascii="Calibri" w:hAnsi="Calibri" w:cs="Calibri"/>
          <w:sz w:val="22"/>
          <w:szCs w:val="22"/>
        </w:rPr>
      </w:pPr>
    </w:p>
    <w:p w14:paraId="1D447C30" w14:textId="77777777" w:rsidR="00695991" w:rsidRPr="00695991" w:rsidRDefault="00F6776A" w:rsidP="00695991">
      <w:pPr>
        <w:pStyle w:val="ListParagraph"/>
        <w:numPr>
          <w:ilvl w:val="0"/>
          <w:numId w:val="4"/>
        </w:numPr>
      </w:pPr>
      <w:r>
        <w:rPr>
          <w:b/>
        </w:rPr>
        <w:t>Risk A</w:t>
      </w:r>
      <w:r w:rsidR="004E74A0">
        <w:rPr>
          <w:b/>
        </w:rPr>
        <w:t>ssessment includes these steps (select the best answer):</w:t>
      </w:r>
    </w:p>
    <w:p w14:paraId="675CEF90" w14:textId="77777777" w:rsidR="00E110B4" w:rsidRDefault="00E110B4" w:rsidP="00695991">
      <w:pPr>
        <w:pStyle w:val="ListParagraph"/>
        <w:numPr>
          <w:ilvl w:val="1"/>
          <w:numId w:val="4"/>
        </w:numPr>
      </w:pPr>
      <w:r>
        <w:t>Site Assessment, Hazard Identification, Exposure Route Identification, Cleanup Plan</w:t>
      </w:r>
    </w:p>
    <w:p w14:paraId="735F5501" w14:textId="77777777" w:rsidR="00E110B4" w:rsidRDefault="00E110B4" w:rsidP="00695991">
      <w:pPr>
        <w:pStyle w:val="ListParagraph"/>
        <w:numPr>
          <w:ilvl w:val="1"/>
          <w:numId w:val="4"/>
        </w:numPr>
      </w:pPr>
      <w:r>
        <w:lastRenderedPageBreak/>
        <w:t>Hazard Identification, Cleanup Plan, Risk Characterization, Human Health Threats</w:t>
      </w:r>
    </w:p>
    <w:p w14:paraId="2B4D0492" w14:textId="77777777" w:rsidR="00E110B4" w:rsidRDefault="00E110B4" w:rsidP="00695991">
      <w:pPr>
        <w:pStyle w:val="ListParagraph"/>
        <w:numPr>
          <w:ilvl w:val="1"/>
          <w:numId w:val="4"/>
        </w:numPr>
      </w:pPr>
      <w:r w:rsidRPr="00E110B4">
        <w:rPr>
          <w:highlight w:val="yellow"/>
        </w:rPr>
        <w:t>Hazard Identification, Dose-Response Assessment, Exposure Assessment, Risk Characterization</w:t>
      </w:r>
    </w:p>
    <w:p w14:paraId="44B51C98" w14:textId="77777777" w:rsidR="00E110B4" w:rsidRDefault="00E110B4" w:rsidP="00695991">
      <w:pPr>
        <w:pStyle w:val="ListParagraph"/>
        <w:numPr>
          <w:ilvl w:val="1"/>
          <w:numId w:val="4"/>
        </w:numPr>
      </w:pPr>
      <w:r>
        <w:t>Site Assessment, Hazard Identification, Risk Characterization, Cleanup Plan</w:t>
      </w:r>
    </w:p>
    <w:p w14:paraId="7316DEF6" w14:textId="77777777" w:rsidR="00E110B4" w:rsidRPr="00E110B4" w:rsidRDefault="00E110B4" w:rsidP="00E110B4">
      <w:pPr>
        <w:spacing w:after="0" w:line="240" w:lineRule="auto"/>
        <w:rPr>
          <w:b/>
        </w:rPr>
      </w:pPr>
      <w:r w:rsidRPr="00E110B4">
        <w:rPr>
          <w:b/>
        </w:rPr>
        <w:t>Answer: c.</w:t>
      </w:r>
    </w:p>
    <w:p w14:paraId="4F748B36" w14:textId="77777777" w:rsidR="000F560B" w:rsidRPr="00F6776A" w:rsidRDefault="00E110B4" w:rsidP="00F6776A">
      <w:r w:rsidRPr="00F6776A">
        <w:rPr>
          <w:b/>
        </w:rPr>
        <w:t xml:space="preserve">Rationale: </w:t>
      </w:r>
      <w:r w:rsidR="00F6776A">
        <w:t xml:space="preserve">The four steps of Risk Assessment are </w:t>
      </w:r>
      <w:r w:rsidR="00F6776A" w:rsidRPr="00F6776A">
        <w:t xml:space="preserve">Hazard Identification, Dose-Response Assessment, Exposure Assessment, </w:t>
      </w:r>
      <w:r w:rsidR="00153704">
        <w:t xml:space="preserve">and </w:t>
      </w:r>
      <w:r w:rsidR="00F6776A" w:rsidRPr="00F6776A">
        <w:t>Risk Characterization</w:t>
      </w:r>
      <w:r w:rsidR="00153704">
        <w:t xml:space="preserve"> (c.)</w:t>
      </w:r>
      <w:r w:rsidR="00F6776A">
        <w:t>. Hazard Identification indicates what health problems are caused by the contaminants. Dose-Response Assessment quantifies the health problems at different exposures. Exposure Assessment explains how much of the pollutant people are exposed to during a specific time period and how many people are exposed. Risk Characterization describes the extra risk of health problems in the exposed population.</w:t>
      </w:r>
    </w:p>
    <w:p w14:paraId="450D7C98" w14:textId="77777777" w:rsidR="00984E7D" w:rsidRDefault="00984E7D" w:rsidP="00984E7D">
      <w:pPr>
        <w:spacing w:after="0" w:line="240" w:lineRule="auto"/>
        <w:rPr>
          <w:rFonts w:ascii="Calibri" w:hAnsi="Calibri" w:cs="Calibri"/>
        </w:rPr>
      </w:pPr>
    </w:p>
    <w:p w14:paraId="3171B53A" w14:textId="77777777" w:rsidR="00984E7D" w:rsidRPr="00F6776A" w:rsidRDefault="00F6776A" w:rsidP="00984E7D">
      <w:pPr>
        <w:pStyle w:val="ListParagraph"/>
        <w:numPr>
          <w:ilvl w:val="0"/>
          <w:numId w:val="4"/>
        </w:numPr>
        <w:spacing w:after="0" w:line="240" w:lineRule="auto"/>
        <w:rPr>
          <w:rFonts w:ascii="Calibri" w:hAnsi="Calibri" w:cs="Calibri"/>
        </w:rPr>
      </w:pPr>
      <w:r>
        <w:rPr>
          <w:rFonts w:ascii="Calibri" w:hAnsi="Calibri" w:cs="Calibri"/>
          <w:b/>
        </w:rPr>
        <w:t>Public Health Assessment incorpora</w:t>
      </w:r>
      <w:r w:rsidR="00DA1E3E">
        <w:rPr>
          <w:rFonts w:ascii="Calibri" w:hAnsi="Calibri" w:cs="Calibri"/>
          <w:b/>
        </w:rPr>
        <w:t xml:space="preserve">tes aspects of Risk Assessment </w:t>
      </w:r>
      <w:r>
        <w:rPr>
          <w:rFonts w:ascii="Calibri" w:hAnsi="Calibri" w:cs="Calibri"/>
          <w:b/>
        </w:rPr>
        <w:t xml:space="preserve">and in addition, includes (select </w:t>
      </w:r>
      <w:r w:rsidR="00DA1E3E">
        <w:rPr>
          <w:rFonts w:ascii="Calibri" w:hAnsi="Calibri" w:cs="Calibri"/>
          <w:b/>
        </w:rPr>
        <w:t>the best answer</w:t>
      </w:r>
      <w:r>
        <w:rPr>
          <w:rFonts w:ascii="Calibri" w:hAnsi="Calibri" w:cs="Calibri"/>
          <w:b/>
        </w:rPr>
        <w:t>):</w:t>
      </w:r>
    </w:p>
    <w:p w14:paraId="72423C06" w14:textId="77777777" w:rsidR="00F6776A" w:rsidRDefault="00F6776A" w:rsidP="00F6776A">
      <w:pPr>
        <w:pStyle w:val="ListParagraph"/>
        <w:numPr>
          <w:ilvl w:val="1"/>
          <w:numId w:val="4"/>
        </w:numPr>
        <w:spacing w:after="0" w:line="240" w:lineRule="auto"/>
        <w:rPr>
          <w:rFonts w:ascii="Calibri" w:hAnsi="Calibri" w:cs="Calibri"/>
        </w:rPr>
      </w:pPr>
      <w:r>
        <w:rPr>
          <w:rFonts w:ascii="Calibri" w:hAnsi="Calibri" w:cs="Calibri"/>
        </w:rPr>
        <w:t>Collection of site samples nearest to sensitive receptors/populations</w:t>
      </w:r>
      <w:r w:rsidR="00DA1E3E">
        <w:rPr>
          <w:rFonts w:ascii="Calibri" w:hAnsi="Calibri" w:cs="Calibri"/>
        </w:rPr>
        <w:t>, exposure assessment, toxicologic assessment, risk management recommendations</w:t>
      </w:r>
    </w:p>
    <w:p w14:paraId="720596BB" w14:textId="77777777" w:rsidR="00F6776A" w:rsidRPr="00DA1E3E" w:rsidRDefault="00DA1E3E" w:rsidP="00F6776A">
      <w:pPr>
        <w:pStyle w:val="ListParagraph"/>
        <w:numPr>
          <w:ilvl w:val="1"/>
          <w:numId w:val="4"/>
        </w:numPr>
        <w:spacing w:after="0" w:line="240" w:lineRule="auto"/>
        <w:rPr>
          <w:rFonts w:ascii="Calibri" w:hAnsi="Calibri" w:cs="Calibri"/>
          <w:highlight w:val="yellow"/>
        </w:rPr>
      </w:pPr>
      <w:r w:rsidRPr="00DA1E3E">
        <w:rPr>
          <w:rFonts w:ascii="Calibri" w:hAnsi="Calibri" w:cs="Calibri"/>
          <w:highlight w:val="yellow"/>
        </w:rPr>
        <w:t>Exposure assessment, toxicologic assessment, review of health outcome data, recommendations for public health protection</w:t>
      </w:r>
    </w:p>
    <w:p w14:paraId="5B747B25" w14:textId="77777777" w:rsidR="00984E7D" w:rsidRDefault="00DA1E3E" w:rsidP="00984E7D">
      <w:pPr>
        <w:pStyle w:val="ListParagraph"/>
        <w:numPr>
          <w:ilvl w:val="1"/>
          <w:numId w:val="4"/>
        </w:numPr>
        <w:spacing w:after="0" w:line="240" w:lineRule="auto"/>
        <w:rPr>
          <w:rFonts w:ascii="Calibri" w:hAnsi="Calibri" w:cs="Calibri"/>
        </w:rPr>
      </w:pPr>
      <w:r>
        <w:rPr>
          <w:rFonts w:ascii="Calibri" w:hAnsi="Calibri" w:cs="Calibri"/>
        </w:rPr>
        <w:t>Environmental site assessment, exposure assessment, toxicologic assessment, risk management recommendations</w:t>
      </w:r>
    </w:p>
    <w:p w14:paraId="1EA513FC" w14:textId="77777777" w:rsidR="00DA1E3E" w:rsidRDefault="00DA1E3E" w:rsidP="00984E7D">
      <w:pPr>
        <w:pStyle w:val="ListParagraph"/>
        <w:numPr>
          <w:ilvl w:val="1"/>
          <w:numId w:val="4"/>
        </w:numPr>
        <w:spacing w:after="0" w:line="240" w:lineRule="auto"/>
        <w:rPr>
          <w:rFonts w:ascii="Calibri" w:hAnsi="Calibri" w:cs="Calibri"/>
        </w:rPr>
      </w:pPr>
      <w:r>
        <w:rPr>
          <w:rFonts w:ascii="Calibri" w:hAnsi="Calibri" w:cs="Calibri"/>
        </w:rPr>
        <w:t>Environmental site assessment, exposure assessment, site sampling plan, toxicologic assessment</w:t>
      </w:r>
    </w:p>
    <w:p w14:paraId="3DFC6059" w14:textId="77777777" w:rsidR="00DA1E3E" w:rsidRDefault="00DA1E3E" w:rsidP="00DA1E3E">
      <w:pPr>
        <w:spacing w:after="0" w:line="240" w:lineRule="auto"/>
        <w:rPr>
          <w:rFonts w:ascii="Calibri" w:hAnsi="Calibri" w:cs="Calibri"/>
        </w:rPr>
      </w:pPr>
    </w:p>
    <w:p w14:paraId="1608F9D8" w14:textId="77777777" w:rsidR="00DA1E3E" w:rsidRPr="003E5A79" w:rsidRDefault="00DA1E3E" w:rsidP="00DA1E3E">
      <w:pPr>
        <w:spacing w:after="0" w:line="240" w:lineRule="auto"/>
        <w:rPr>
          <w:rFonts w:ascii="Calibri" w:hAnsi="Calibri" w:cs="Calibri"/>
          <w:b/>
        </w:rPr>
      </w:pPr>
      <w:r w:rsidRPr="003E5A79">
        <w:rPr>
          <w:rFonts w:ascii="Calibri" w:hAnsi="Calibri" w:cs="Calibri"/>
          <w:b/>
        </w:rPr>
        <w:t>Answer: b.</w:t>
      </w:r>
    </w:p>
    <w:p w14:paraId="7165A031" w14:textId="77777777" w:rsidR="00DA1E3E" w:rsidRPr="00DA1E3E" w:rsidRDefault="00DA1E3E" w:rsidP="00DA1E3E">
      <w:pPr>
        <w:spacing w:after="0" w:line="240" w:lineRule="auto"/>
        <w:rPr>
          <w:rFonts w:ascii="Calibri" w:hAnsi="Calibri" w:cs="Calibri"/>
        </w:rPr>
      </w:pPr>
      <w:r w:rsidRPr="003E5A79">
        <w:rPr>
          <w:rFonts w:ascii="Calibri" w:hAnsi="Calibri" w:cs="Calibri"/>
          <w:b/>
        </w:rPr>
        <w:t>Rationale:</w:t>
      </w:r>
      <w:r>
        <w:rPr>
          <w:rFonts w:ascii="Calibri" w:hAnsi="Calibri" w:cs="Calibri"/>
        </w:rPr>
        <w:t xml:space="preserve"> The steps of Public Health Assessment are exposure assessment, toxicologic assessment, review of health outcome data, and recommendations for public health protection (b.). Public Health Assessments determine the nature and extent of contamination through an extensive exposure assessment that identifies exposure pathways, the size and susceptibility of the exposed population, and a comparison of exposure levels to those associated with health effects. </w:t>
      </w:r>
      <w:r w:rsidR="003E5A79">
        <w:rPr>
          <w:rFonts w:ascii="Calibri" w:hAnsi="Calibri" w:cs="Calibri"/>
        </w:rPr>
        <w:t>In addition, Public Health Assessments evaluate health outcome data for the exposed population (e.g. elevated blood lead levels in a population living near a lead smelter) and draw conclusions about associations of exposures with health effects.</w:t>
      </w:r>
    </w:p>
    <w:p w14:paraId="62BF7800" w14:textId="77777777" w:rsidR="00984E7D" w:rsidRDefault="00984E7D" w:rsidP="00984E7D">
      <w:pPr>
        <w:pStyle w:val="Default"/>
        <w:rPr>
          <w:rFonts w:ascii="Calibri" w:hAnsi="Calibri" w:cs="Calibri"/>
          <w:sz w:val="22"/>
          <w:szCs w:val="22"/>
        </w:rPr>
      </w:pPr>
    </w:p>
    <w:p w14:paraId="666B901C" w14:textId="5A91A027" w:rsidR="00CB1498" w:rsidRDefault="00CB1498" w:rsidP="00CB1498">
      <w:pPr>
        <w:pStyle w:val="Default"/>
        <w:numPr>
          <w:ilvl w:val="0"/>
          <w:numId w:val="4"/>
        </w:numPr>
        <w:rPr>
          <w:rFonts w:ascii="Calibri" w:hAnsi="Calibri" w:cs="Calibri"/>
          <w:b/>
          <w:sz w:val="22"/>
          <w:szCs w:val="22"/>
        </w:rPr>
      </w:pPr>
      <w:r>
        <w:rPr>
          <w:rFonts w:ascii="Calibri" w:hAnsi="Calibri" w:cs="Calibri"/>
          <w:b/>
          <w:sz w:val="22"/>
          <w:szCs w:val="22"/>
        </w:rPr>
        <w:t xml:space="preserve">There are several tools and resources available for use in Environmental Site and Public Health Assessments. </w:t>
      </w:r>
      <w:r w:rsidR="006F308E">
        <w:rPr>
          <w:rFonts w:ascii="Calibri" w:hAnsi="Calibri" w:cs="Calibri"/>
          <w:b/>
        </w:rPr>
        <w:t>(Select all that apply)</w:t>
      </w:r>
    </w:p>
    <w:p w14:paraId="47846288" w14:textId="77777777" w:rsidR="00CB1498" w:rsidRPr="00CB1498" w:rsidRDefault="00CB1498" w:rsidP="00CB1498">
      <w:pPr>
        <w:pStyle w:val="Default"/>
        <w:numPr>
          <w:ilvl w:val="1"/>
          <w:numId w:val="4"/>
        </w:numPr>
        <w:rPr>
          <w:rFonts w:ascii="Calibri" w:hAnsi="Calibri" w:cs="Calibri"/>
          <w:sz w:val="22"/>
          <w:szCs w:val="22"/>
          <w:highlight w:val="yellow"/>
        </w:rPr>
      </w:pPr>
      <w:r w:rsidRPr="00CB1498">
        <w:rPr>
          <w:rFonts w:ascii="Calibri" w:hAnsi="Calibri" w:cs="Calibri"/>
          <w:sz w:val="22"/>
          <w:szCs w:val="22"/>
          <w:highlight w:val="yellow"/>
        </w:rPr>
        <w:t>Health Impact Assessment</w:t>
      </w:r>
    </w:p>
    <w:p w14:paraId="3CC4C583" w14:textId="0B9C3823" w:rsidR="00CB1498" w:rsidRPr="00CB1498" w:rsidRDefault="00CB1498" w:rsidP="00CB1498">
      <w:pPr>
        <w:pStyle w:val="Default"/>
        <w:numPr>
          <w:ilvl w:val="1"/>
          <w:numId w:val="4"/>
        </w:numPr>
        <w:rPr>
          <w:rFonts w:ascii="Calibri" w:hAnsi="Calibri" w:cs="Calibri"/>
          <w:sz w:val="22"/>
          <w:szCs w:val="22"/>
        </w:rPr>
      </w:pPr>
      <w:r>
        <w:rPr>
          <w:rFonts w:ascii="Calibri" w:hAnsi="Calibri" w:cs="Calibri"/>
          <w:sz w:val="22"/>
          <w:szCs w:val="22"/>
        </w:rPr>
        <w:t>Enviro</w:t>
      </w:r>
      <w:r w:rsidR="000A7A22">
        <w:rPr>
          <w:rFonts w:ascii="Calibri" w:hAnsi="Calibri" w:cs="Calibri"/>
          <w:sz w:val="22"/>
          <w:szCs w:val="22"/>
        </w:rPr>
        <w:t xml:space="preserve"> </w:t>
      </w:r>
      <w:r>
        <w:rPr>
          <w:rFonts w:ascii="Calibri" w:hAnsi="Calibri" w:cs="Calibri"/>
          <w:sz w:val="22"/>
          <w:szCs w:val="22"/>
        </w:rPr>
        <w:t>Detective Site Investigation Tool</w:t>
      </w:r>
    </w:p>
    <w:p w14:paraId="63D9FEB7" w14:textId="77777777" w:rsidR="00CB1498" w:rsidRPr="00CB1498" w:rsidRDefault="00CB1498" w:rsidP="00CB1498">
      <w:pPr>
        <w:pStyle w:val="Default"/>
        <w:numPr>
          <w:ilvl w:val="1"/>
          <w:numId w:val="4"/>
        </w:numPr>
        <w:rPr>
          <w:rFonts w:ascii="Calibri" w:hAnsi="Calibri" w:cs="Calibri"/>
          <w:sz w:val="22"/>
          <w:szCs w:val="22"/>
          <w:highlight w:val="yellow"/>
        </w:rPr>
      </w:pPr>
      <w:r w:rsidRPr="00CB1498">
        <w:rPr>
          <w:rFonts w:ascii="Calibri" w:hAnsi="Calibri" w:cs="Calibri"/>
          <w:sz w:val="22"/>
          <w:szCs w:val="22"/>
          <w:highlight w:val="yellow"/>
        </w:rPr>
        <w:t>ATSDR’s Toxicological Profiles</w:t>
      </w:r>
    </w:p>
    <w:p w14:paraId="3D0DA14D" w14:textId="77777777" w:rsidR="00CB1498" w:rsidRPr="00CB1498" w:rsidRDefault="00CB1498" w:rsidP="00CB1498">
      <w:pPr>
        <w:pStyle w:val="Default"/>
        <w:numPr>
          <w:ilvl w:val="1"/>
          <w:numId w:val="4"/>
        </w:numPr>
        <w:rPr>
          <w:rFonts w:ascii="Calibri" w:hAnsi="Calibri" w:cs="Calibri"/>
          <w:sz w:val="22"/>
          <w:szCs w:val="22"/>
          <w:highlight w:val="yellow"/>
        </w:rPr>
      </w:pPr>
      <w:r w:rsidRPr="00CB1498">
        <w:rPr>
          <w:rFonts w:ascii="Calibri" w:hAnsi="Calibri" w:cs="Calibri"/>
          <w:sz w:val="22"/>
          <w:szCs w:val="22"/>
          <w:highlight w:val="yellow"/>
        </w:rPr>
        <w:t>Community Mapping Tools</w:t>
      </w:r>
    </w:p>
    <w:p w14:paraId="4EF1D340" w14:textId="77777777" w:rsidR="00CB1498" w:rsidRDefault="00CB1498" w:rsidP="00CB1498">
      <w:pPr>
        <w:pStyle w:val="Default"/>
        <w:numPr>
          <w:ilvl w:val="1"/>
          <w:numId w:val="4"/>
        </w:numPr>
        <w:rPr>
          <w:rFonts w:ascii="Calibri" w:hAnsi="Calibri" w:cs="Calibri"/>
          <w:sz w:val="22"/>
          <w:szCs w:val="22"/>
        </w:rPr>
      </w:pPr>
      <w:r>
        <w:rPr>
          <w:rFonts w:ascii="Calibri" w:hAnsi="Calibri" w:cs="Calibri"/>
          <w:sz w:val="22"/>
          <w:szCs w:val="22"/>
        </w:rPr>
        <w:t xml:space="preserve">Enviro </w:t>
      </w:r>
      <w:r w:rsidRPr="00CB1498">
        <w:rPr>
          <w:rFonts w:ascii="Calibri" w:hAnsi="Calibri" w:cs="Calibri"/>
          <w:sz w:val="22"/>
          <w:szCs w:val="22"/>
        </w:rPr>
        <w:t>Library Search Tool</w:t>
      </w:r>
    </w:p>
    <w:p w14:paraId="2E4214A5" w14:textId="77777777" w:rsidR="00CB1498" w:rsidRDefault="00CB1498" w:rsidP="00CB1498">
      <w:pPr>
        <w:pStyle w:val="Default"/>
        <w:numPr>
          <w:ilvl w:val="1"/>
          <w:numId w:val="4"/>
        </w:numPr>
        <w:rPr>
          <w:rFonts w:ascii="Calibri" w:hAnsi="Calibri" w:cs="Calibri"/>
          <w:sz w:val="22"/>
          <w:szCs w:val="22"/>
        </w:rPr>
      </w:pPr>
      <w:r>
        <w:rPr>
          <w:rFonts w:ascii="Calibri" w:hAnsi="Calibri" w:cs="Calibri"/>
          <w:sz w:val="22"/>
          <w:szCs w:val="22"/>
        </w:rPr>
        <w:t>Risk-o-Mapper Software</w:t>
      </w:r>
    </w:p>
    <w:p w14:paraId="381EC1FA" w14:textId="77777777" w:rsidR="00CB1498" w:rsidRDefault="00CB1498" w:rsidP="00CB1498">
      <w:pPr>
        <w:pStyle w:val="Default"/>
        <w:numPr>
          <w:ilvl w:val="1"/>
          <w:numId w:val="4"/>
        </w:numPr>
        <w:rPr>
          <w:rFonts w:ascii="Calibri" w:hAnsi="Calibri" w:cs="Calibri"/>
          <w:sz w:val="22"/>
          <w:szCs w:val="22"/>
        </w:rPr>
      </w:pPr>
      <w:r w:rsidRPr="00CB1498">
        <w:rPr>
          <w:rFonts w:ascii="Calibri" w:hAnsi="Calibri" w:cs="Calibri"/>
          <w:sz w:val="22"/>
          <w:szCs w:val="22"/>
          <w:highlight w:val="yellow"/>
        </w:rPr>
        <w:t>Community Health Status Indicator</w:t>
      </w:r>
    </w:p>
    <w:p w14:paraId="0F046AF7" w14:textId="77777777" w:rsidR="00D402FD" w:rsidRDefault="00D402FD" w:rsidP="00D402FD">
      <w:pPr>
        <w:pStyle w:val="Default"/>
        <w:rPr>
          <w:rFonts w:ascii="Calibri" w:hAnsi="Calibri" w:cs="Calibri"/>
          <w:sz w:val="22"/>
          <w:szCs w:val="22"/>
        </w:rPr>
      </w:pPr>
    </w:p>
    <w:p w14:paraId="378842B9" w14:textId="1FB9D66E" w:rsidR="00D402FD" w:rsidRDefault="00D402FD" w:rsidP="00D402FD">
      <w:pPr>
        <w:pStyle w:val="Default"/>
        <w:rPr>
          <w:rFonts w:ascii="Calibri" w:hAnsi="Calibri" w:cs="Calibri"/>
          <w:b/>
          <w:sz w:val="22"/>
          <w:szCs w:val="22"/>
        </w:rPr>
      </w:pPr>
      <w:r>
        <w:rPr>
          <w:rFonts w:ascii="Calibri" w:hAnsi="Calibri" w:cs="Calibri"/>
          <w:b/>
          <w:sz w:val="22"/>
          <w:szCs w:val="22"/>
        </w:rPr>
        <w:t xml:space="preserve">Answer: </w:t>
      </w:r>
      <w:r w:rsidR="006F308E">
        <w:rPr>
          <w:rFonts w:ascii="Calibri" w:hAnsi="Calibri" w:cs="Calibri"/>
          <w:b/>
          <w:sz w:val="22"/>
          <w:szCs w:val="22"/>
        </w:rPr>
        <w:t xml:space="preserve"> </w:t>
      </w:r>
      <w:r w:rsidR="00153704">
        <w:rPr>
          <w:rFonts w:ascii="Calibri" w:hAnsi="Calibri" w:cs="Calibri"/>
          <w:b/>
          <w:sz w:val="22"/>
          <w:szCs w:val="22"/>
        </w:rPr>
        <w:t xml:space="preserve"> </w:t>
      </w:r>
      <w:r w:rsidR="00CB1498" w:rsidRPr="00153704">
        <w:rPr>
          <w:rFonts w:ascii="Calibri" w:hAnsi="Calibri" w:cs="Calibri"/>
          <w:b/>
          <w:sz w:val="22"/>
          <w:szCs w:val="22"/>
        </w:rPr>
        <w:t>a., c., d</w:t>
      </w:r>
      <w:r w:rsidRPr="00153704">
        <w:rPr>
          <w:rFonts w:ascii="Calibri" w:hAnsi="Calibri" w:cs="Calibri"/>
          <w:b/>
          <w:sz w:val="22"/>
          <w:szCs w:val="22"/>
        </w:rPr>
        <w:t>., and g.</w:t>
      </w:r>
    </w:p>
    <w:p w14:paraId="01748781" w14:textId="77777777" w:rsidR="00083D5A" w:rsidRDefault="00D402FD" w:rsidP="00083D5A">
      <w:pPr>
        <w:pStyle w:val="Default"/>
        <w:rPr>
          <w:rFonts w:ascii="Calibri" w:hAnsi="Calibri" w:cs="Calibri"/>
          <w:sz w:val="22"/>
          <w:szCs w:val="22"/>
        </w:rPr>
      </w:pPr>
      <w:r>
        <w:rPr>
          <w:rFonts w:ascii="Calibri" w:hAnsi="Calibri" w:cs="Calibri"/>
          <w:b/>
          <w:sz w:val="22"/>
          <w:szCs w:val="22"/>
        </w:rPr>
        <w:t xml:space="preserve">Rationale: </w:t>
      </w:r>
      <w:r w:rsidR="00CB1498">
        <w:rPr>
          <w:rFonts w:ascii="Calibri" w:hAnsi="Calibri" w:cs="Calibri"/>
          <w:sz w:val="22"/>
          <w:szCs w:val="22"/>
        </w:rPr>
        <w:t xml:space="preserve">Health Impact Assessment (a.), ATSDR’s Toxicological Profiles (c.), Community Mapping Tools (d.), and Community Health Status Indicator (g.) are all </w:t>
      </w:r>
      <w:r w:rsidR="00996373">
        <w:rPr>
          <w:rFonts w:ascii="Calibri" w:hAnsi="Calibri" w:cs="Calibri"/>
          <w:sz w:val="22"/>
          <w:szCs w:val="22"/>
        </w:rPr>
        <w:t>tools and resources that can be used in Environmental Site and Public Health Assessments.</w:t>
      </w:r>
    </w:p>
    <w:p w14:paraId="6E7F2099" w14:textId="48B8F15C" w:rsidR="00236853" w:rsidRDefault="00236853" w:rsidP="00083D5A">
      <w:pPr>
        <w:pStyle w:val="Default"/>
        <w:rPr>
          <w:rFonts w:ascii="Calibri" w:hAnsi="Calibri" w:cs="Calibri"/>
          <w:sz w:val="22"/>
          <w:szCs w:val="22"/>
        </w:rPr>
      </w:pPr>
    </w:p>
    <w:p w14:paraId="4CC0E433" w14:textId="04E56B06" w:rsidR="008C641F" w:rsidRPr="008C641F" w:rsidRDefault="008C641F" w:rsidP="008C641F">
      <w:pPr>
        <w:pStyle w:val="Default"/>
        <w:ind w:left="360"/>
        <w:rPr>
          <w:rFonts w:ascii="Calibri" w:hAnsi="Calibri" w:cs="Calibri"/>
          <w:b/>
          <w:sz w:val="22"/>
          <w:szCs w:val="22"/>
        </w:rPr>
      </w:pPr>
    </w:p>
    <w:sectPr w:rsidR="008C641F" w:rsidRPr="008C641F" w:rsidSect="00CF581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0AEFA" w14:textId="77777777" w:rsidR="00CF7A2E" w:rsidRDefault="00CF7A2E" w:rsidP="008B5D54">
      <w:pPr>
        <w:spacing w:after="0" w:line="240" w:lineRule="auto"/>
      </w:pPr>
      <w:r>
        <w:separator/>
      </w:r>
    </w:p>
  </w:endnote>
  <w:endnote w:type="continuationSeparator" w:id="0">
    <w:p w14:paraId="6E728FE4" w14:textId="77777777" w:rsidR="00CF7A2E" w:rsidRDefault="00CF7A2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607A" w14:textId="77777777" w:rsidR="0068767C" w:rsidRDefault="00687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764196"/>
      <w:docPartObj>
        <w:docPartGallery w:val="Page Numbers (Bottom of Page)"/>
        <w:docPartUnique/>
      </w:docPartObj>
    </w:sdtPr>
    <w:sdtEndPr/>
    <w:sdtContent>
      <w:sdt>
        <w:sdtPr>
          <w:id w:val="1330874967"/>
          <w:docPartObj>
            <w:docPartGallery w:val="Page Numbers (Top of Page)"/>
            <w:docPartUnique/>
          </w:docPartObj>
        </w:sdtPr>
        <w:sdtEndPr/>
        <w:sdtContent>
          <w:p w14:paraId="09072DE1" w14:textId="06A224C3" w:rsidR="00261138" w:rsidRDefault="00CF5813">
            <w:pPr>
              <w:pStyle w:val="Footer"/>
              <w:jc w:val="right"/>
            </w:pPr>
            <w:r>
              <w:t xml:space="preserve"> </w:t>
            </w:r>
          </w:p>
        </w:sdtContent>
      </w:sdt>
    </w:sdtContent>
  </w:sdt>
  <w:p w14:paraId="7377D931" w14:textId="77777777" w:rsidR="00261138" w:rsidRDefault="00261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AA6A" w14:textId="77777777" w:rsidR="0068767C" w:rsidRDefault="00687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39572" w14:textId="77777777" w:rsidR="00CF7A2E" w:rsidRDefault="00CF7A2E" w:rsidP="008B5D54">
      <w:pPr>
        <w:spacing w:after="0" w:line="240" w:lineRule="auto"/>
      </w:pPr>
      <w:r>
        <w:separator/>
      </w:r>
    </w:p>
  </w:footnote>
  <w:footnote w:type="continuationSeparator" w:id="0">
    <w:p w14:paraId="1E722676" w14:textId="77777777" w:rsidR="00CF7A2E" w:rsidRDefault="00CF7A2E"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A5A0" w14:textId="77777777" w:rsidR="0068767C" w:rsidRDefault="00687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D0998" w14:textId="77777777" w:rsidR="00261138" w:rsidRPr="00221F72" w:rsidRDefault="00261138" w:rsidP="00221F72">
    <w:pPr>
      <w:spacing w:after="0" w:line="240" w:lineRule="auto"/>
      <w:rPr>
        <w:rFonts w:ascii="Arial" w:eastAsia="Times New Roman" w:hAnsi="Arial" w:cs="Arial"/>
        <w:noProof/>
        <w:sz w:val="8"/>
        <w:szCs w:val="8"/>
      </w:rPr>
    </w:pPr>
  </w:p>
  <w:p w14:paraId="6EF5FA83" w14:textId="77777777" w:rsidR="00261138" w:rsidRPr="003F0796" w:rsidRDefault="00261138" w:rsidP="00170756">
    <w:pPr>
      <w:widowControl w:val="0"/>
      <w:autoSpaceDE w:val="0"/>
      <w:autoSpaceDN w:val="0"/>
      <w:adjustRightInd w:val="0"/>
      <w:spacing w:after="0" w:line="240" w:lineRule="auto"/>
      <w:rPr>
        <w:rFonts w:ascii="Arial" w:eastAsia="Times New Roman" w:hAnsi="Arial" w:cs="Arial"/>
        <w:b/>
        <w:noProof/>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0897" w14:textId="77777777" w:rsidR="00261138" w:rsidRPr="00170756" w:rsidRDefault="00261138" w:rsidP="00170756">
    <w:pPr>
      <w:pStyle w:val="Seperator"/>
    </w:pPr>
  </w:p>
  <w:p w14:paraId="1F1F92B0" w14:textId="77777777" w:rsidR="00261138" w:rsidRPr="005F19B1" w:rsidRDefault="00261138" w:rsidP="005F19B1">
    <w:pPr>
      <w:widowControl w:val="0"/>
      <w:autoSpaceDE w:val="0"/>
      <w:autoSpaceDN w:val="0"/>
      <w:adjustRightInd w:val="0"/>
      <w:spacing w:after="0" w:line="240" w:lineRule="auto"/>
      <w:jc w:val="center"/>
      <w:rPr>
        <w:rFonts w:ascii="Arial" w:eastAsia="Times New Roman" w:hAnsi="Arial" w:cs="Arial"/>
        <w:b/>
        <w:noProof/>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961815"/>
    <w:multiLevelType w:val="hybridMultilevel"/>
    <w:tmpl w:val="63E88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0EE7D9"/>
    <w:multiLevelType w:val="hybridMultilevel"/>
    <w:tmpl w:val="F988B9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F1E408"/>
    <w:multiLevelType w:val="hybridMultilevel"/>
    <w:tmpl w:val="A0BBC9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5296BA26"/>
    <w:lvl w:ilvl="0">
      <w:start w:val="1"/>
      <w:numFmt w:val="bullet"/>
      <w:pStyle w:val="ListBullet"/>
      <w:lvlText w:val="•"/>
      <w:lvlJc w:val="left"/>
      <w:pPr>
        <w:ind w:left="1080" w:hanging="360"/>
      </w:pPr>
      <w:rPr>
        <w:rFonts w:ascii="Calibri" w:hAnsi="Calibri" w:hint="default"/>
        <w:color w:val="808080" w:themeColor="background1" w:themeShade="80"/>
      </w:rPr>
    </w:lvl>
  </w:abstractNum>
  <w:abstractNum w:abstractNumId="4" w15:restartNumberingAfterBreak="0">
    <w:nsid w:val="005731AB"/>
    <w:multiLevelType w:val="hybridMultilevel"/>
    <w:tmpl w:val="A3C06E52"/>
    <w:lvl w:ilvl="0" w:tplc="9B4081FA">
      <w:start w:val="1"/>
      <w:numFmt w:val="decimal"/>
      <w:lvlText w:val="%1."/>
      <w:lvlJc w:val="left"/>
      <w:pPr>
        <w:ind w:left="360" w:hanging="360"/>
      </w:pPr>
      <w:rPr>
        <w:rFonts w:asciiTheme="minorHAnsi" w:eastAsiaTheme="minorHAnsi" w:hAnsiTheme="minorHAnsi" w:cstheme="minorBidi"/>
      </w:rPr>
    </w:lvl>
    <w:lvl w:ilvl="1" w:tplc="A686CC7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4C7F1E"/>
    <w:multiLevelType w:val="hybridMultilevel"/>
    <w:tmpl w:val="C9182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030DC"/>
    <w:multiLevelType w:val="hybridMultilevel"/>
    <w:tmpl w:val="0FB3B0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36425F"/>
    <w:multiLevelType w:val="hybridMultilevel"/>
    <w:tmpl w:val="F58815C8"/>
    <w:lvl w:ilvl="0" w:tplc="D96228E6">
      <w:start w:val="1"/>
      <w:numFmt w:val="decimal"/>
      <w:lvlText w:val="%1)"/>
      <w:lvlJc w:val="left"/>
      <w:pPr>
        <w:ind w:left="360" w:hanging="360"/>
      </w:pPr>
      <w:rPr>
        <w:rFonts w:asciiTheme="minorHAnsi" w:hAnsiTheme="minorHAnsi" w:hint="default"/>
        <w:b/>
        <w:sz w:val="24"/>
        <w:szCs w:val="24"/>
      </w:rPr>
    </w:lvl>
    <w:lvl w:ilvl="1" w:tplc="04090019">
      <w:start w:val="1"/>
      <w:numFmt w:val="lowerLetter"/>
      <w:lvlText w:val="%2."/>
      <w:lvlJc w:val="left"/>
      <w:pPr>
        <w:ind w:left="1080" w:hanging="360"/>
      </w:pPr>
    </w:lvl>
    <w:lvl w:ilvl="2" w:tplc="E306EE48">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24E8F"/>
    <w:multiLevelType w:val="hybridMultilevel"/>
    <w:tmpl w:val="5D96CFD6"/>
    <w:lvl w:ilvl="0" w:tplc="DCE03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06DA4"/>
    <w:multiLevelType w:val="hybridMultilevel"/>
    <w:tmpl w:val="0B8C33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C803F3"/>
    <w:multiLevelType w:val="hybridMultilevel"/>
    <w:tmpl w:val="64B4A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C0459"/>
    <w:multiLevelType w:val="hybridMultilevel"/>
    <w:tmpl w:val="4B28CC98"/>
    <w:lvl w:ilvl="0" w:tplc="92A414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14103F"/>
    <w:multiLevelType w:val="hybridMultilevel"/>
    <w:tmpl w:val="27206B90"/>
    <w:lvl w:ilvl="0" w:tplc="83524D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3C5FB2"/>
    <w:multiLevelType w:val="hybridMultilevel"/>
    <w:tmpl w:val="15F821F8"/>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74F4D2D"/>
    <w:multiLevelType w:val="hybridMultilevel"/>
    <w:tmpl w:val="D3306330"/>
    <w:lvl w:ilvl="0" w:tplc="A686CC74">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2D0911"/>
    <w:multiLevelType w:val="hybridMultilevel"/>
    <w:tmpl w:val="DFD0BD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9093C"/>
    <w:multiLevelType w:val="hybridMultilevel"/>
    <w:tmpl w:val="F094F2CE"/>
    <w:lvl w:ilvl="0" w:tplc="A686CC74">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6A98E"/>
    <w:multiLevelType w:val="hybridMultilevel"/>
    <w:tmpl w:val="49E14B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65E77C6"/>
    <w:multiLevelType w:val="hybridMultilevel"/>
    <w:tmpl w:val="3C7275E0"/>
    <w:lvl w:ilvl="0" w:tplc="FDBE256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2039"/>
    <w:multiLevelType w:val="hybridMultilevel"/>
    <w:tmpl w:val="068A2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E15877"/>
    <w:multiLevelType w:val="hybridMultilevel"/>
    <w:tmpl w:val="4302025A"/>
    <w:lvl w:ilvl="0" w:tplc="83524D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F9306E"/>
    <w:multiLevelType w:val="hybridMultilevel"/>
    <w:tmpl w:val="38941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A7179"/>
    <w:multiLevelType w:val="hybridMultilevel"/>
    <w:tmpl w:val="A49C66F2"/>
    <w:lvl w:ilvl="0" w:tplc="7C0AF7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4"/>
  </w:num>
  <w:num w:numId="5">
    <w:abstractNumId w:val="20"/>
  </w:num>
  <w:num w:numId="6">
    <w:abstractNumId w:val="21"/>
  </w:num>
  <w:num w:numId="7">
    <w:abstractNumId w:val="19"/>
  </w:num>
  <w:num w:numId="8">
    <w:abstractNumId w:val="13"/>
  </w:num>
  <w:num w:numId="9">
    <w:abstractNumId w:val="22"/>
  </w:num>
  <w:num w:numId="10">
    <w:abstractNumId w:val="9"/>
  </w:num>
  <w:num w:numId="11">
    <w:abstractNumId w:val="15"/>
  </w:num>
  <w:num w:numId="12">
    <w:abstractNumId w:val="5"/>
  </w:num>
  <w:num w:numId="13">
    <w:abstractNumId w:val="10"/>
  </w:num>
  <w:num w:numId="14">
    <w:abstractNumId w:val="18"/>
  </w:num>
  <w:num w:numId="15">
    <w:abstractNumId w:val="3"/>
  </w:num>
  <w:num w:numId="16">
    <w:abstractNumId w:val="2"/>
  </w:num>
  <w:num w:numId="17">
    <w:abstractNumId w:val="1"/>
  </w:num>
  <w:num w:numId="18">
    <w:abstractNumId w:val="17"/>
  </w:num>
  <w:num w:numId="19">
    <w:abstractNumId w:val="0"/>
  </w:num>
  <w:num w:numId="20">
    <w:abstractNumId w:val="6"/>
  </w:num>
  <w:num w:numId="21">
    <w:abstractNumId w:val="14"/>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FF"/>
    <w:rsid w:val="00065E4C"/>
    <w:rsid w:val="00067EA8"/>
    <w:rsid w:val="00083D5A"/>
    <w:rsid w:val="000A7A22"/>
    <w:rsid w:val="000C07B7"/>
    <w:rsid w:val="000E4FE3"/>
    <w:rsid w:val="000F0B1C"/>
    <w:rsid w:val="000F560B"/>
    <w:rsid w:val="00104F82"/>
    <w:rsid w:val="0012145F"/>
    <w:rsid w:val="00153704"/>
    <w:rsid w:val="00170756"/>
    <w:rsid w:val="0019434A"/>
    <w:rsid w:val="001C0F18"/>
    <w:rsid w:val="001D250E"/>
    <w:rsid w:val="001D6996"/>
    <w:rsid w:val="001E4242"/>
    <w:rsid w:val="00202FB0"/>
    <w:rsid w:val="00213D2F"/>
    <w:rsid w:val="00221F72"/>
    <w:rsid w:val="00222DEF"/>
    <w:rsid w:val="002247D6"/>
    <w:rsid w:val="00224938"/>
    <w:rsid w:val="00230662"/>
    <w:rsid w:val="00232D98"/>
    <w:rsid w:val="00236853"/>
    <w:rsid w:val="00242013"/>
    <w:rsid w:val="0025312A"/>
    <w:rsid w:val="00261138"/>
    <w:rsid w:val="002A59E4"/>
    <w:rsid w:val="00305E15"/>
    <w:rsid w:val="003701AC"/>
    <w:rsid w:val="00370D3D"/>
    <w:rsid w:val="0037328C"/>
    <w:rsid w:val="003A077D"/>
    <w:rsid w:val="003B6F83"/>
    <w:rsid w:val="003D2E7A"/>
    <w:rsid w:val="003E266F"/>
    <w:rsid w:val="003E5A79"/>
    <w:rsid w:val="003F0796"/>
    <w:rsid w:val="003F6131"/>
    <w:rsid w:val="004003B6"/>
    <w:rsid w:val="00405CB7"/>
    <w:rsid w:val="00410FB4"/>
    <w:rsid w:val="004136B2"/>
    <w:rsid w:val="00481AC6"/>
    <w:rsid w:val="004D576B"/>
    <w:rsid w:val="004E74A0"/>
    <w:rsid w:val="004F5C4D"/>
    <w:rsid w:val="00517B1A"/>
    <w:rsid w:val="005233D8"/>
    <w:rsid w:val="005264AA"/>
    <w:rsid w:val="00527115"/>
    <w:rsid w:val="00560E8B"/>
    <w:rsid w:val="00565F35"/>
    <w:rsid w:val="005664C6"/>
    <w:rsid w:val="0057609A"/>
    <w:rsid w:val="0057636A"/>
    <w:rsid w:val="00592F2B"/>
    <w:rsid w:val="005C2863"/>
    <w:rsid w:val="005D0ACA"/>
    <w:rsid w:val="005F19B1"/>
    <w:rsid w:val="005F3091"/>
    <w:rsid w:val="006062EF"/>
    <w:rsid w:val="00610149"/>
    <w:rsid w:val="00622865"/>
    <w:rsid w:val="006805C2"/>
    <w:rsid w:val="0068767C"/>
    <w:rsid w:val="00695991"/>
    <w:rsid w:val="006A5949"/>
    <w:rsid w:val="006C6578"/>
    <w:rsid w:val="006D692E"/>
    <w:rsid w:val="006E1439"/>
    <w:rsid w:val="006F308E"/>
    <w:rsid w:val="0070682C"/>
    <w:rsid w:val="0072416D"/>
    <w:rsid w:val="00741991"/>
    <w:rsid w:val="00751C7E"/>
    <w:rsid w:val="00764B1A"/>
    <w:rsid w:val="007A073B"/>
    <w:rsid w:val="007B0CB5"/>
    <w:rsid w:val="007E199A"/>
    <w:rsid w:val="007E70A9"/>
    <w:rsid w:val="007E7AAE"/>
    <w:rsid w:val="00801DF8"/>
    <w:rsid w:val="008136CF"/>
    <w:rsid w:val="008215A4"/>
    <w:rsid w:val="00877A4C"/>
    <w:rsid w:val="008822CB"/>
    <w:rsid w:val="008B1C47"/>
    <w:rsid w:val="008B4601"/>
    <w:rsid w:val="008B5D54"/>
    <w:rsid w:val="008C641F"/>
    <w:rsid w:val="008E299C"/>
    <w:rsid w:val="009332B9"/>
    <w:rsid w:val="0093493C"/>
    <w:rsid w:val="00952A60"/>
    <w:rsid w:val="009635F3"/>
    <w:rsid w:val="00984E7D"/>
    <w:rsid w:val="00996373"/>
    <w:rsid w:val="009B0994"/>
    <w:rsid w:val="009E0138"/>
    <w:rsid w:val="00A45422"/>
    <w:rsid w:val="00A65867"/>
    <w:rsid w:val="00A70673"/>
    <w:rsid w:val="00A80285"/>
    <w:rsid w:val="00A97E51"/>
    <w:rsid w:val="00AA1BA4"/>
    <w:rsid w:val="00AD19E7"/>
    <w:rsid w:val="00AF29F8"/>
    <w:rsid w:val="00B35B46"/>
    <w:rsid w:val="00B41A3E"/>
    <w:rsid w:val="00B53F04"/>
    <w:rsid w:val="00B55735"/>
    <w:rsid w:val="00B608AC"/>
    <w:rsid w:val="00B624BA"/>
    <w:rsid w:val="00BB56E3"/>
    <w:rsid w:val="00BC68AB"/>
    <w:rsid w:val="00BF4E31"/>
    <w:rsid w:val="00C501F8"/>
    <w:rsid w:val="00C632C2"/>
    <w:rsid w:val="00C66EAA"/>
    <w:rsid w:val="00C971E6"/>
    <w:rsid w:val="00CA2ED5"/>
    <w:rsid w:val="00CA4D38"/>
    <w:rsid w:val="00CB1498"/>
    <w:rsid w:val="00CE0498"/>
    <w:rsid w:val="00CF5813"/>
    <w:rsid w:val="00CF7A2E"/>
    <w:rsid w:val="00D13FA8"/>
    <w:rsid w:val="00D3409A"/>
    <w:rsid w:val="00D402FD"/>
    <w:rsid w:val="00D425A2"/>
    <w:rsid w:val="00D42CED"/>
    <w:rsid w:val="00D45D9C"/>
    <w:rsid w:val="00D5309A"/>
    <w:rsid w:val="00D722F2"/>
    <w:rsid w:val="00D75D81"/>
    <w:rsid w:val="00D860D6"/>
    <w:rsid w:val="00D903A4"/>
    <w:rsid w:val="00DA1E3E"/>
    <w:rsid w:val="00DA5344"/>
    <w:rsid w:val="00DC57CC"/>
    <w:rsid w:val="00DD76B6"/>
    <w:rsid w:val="00DF08BF"/>
    <w:rsid w:val="00DF3D4B"/>
    <w:rsid w:val="00E110B4"/>
    <w:rsid w:val="00E22822"/>
    <w:rsid w:val="00E314C7"/>
    <w:rsid w:val="00E96FE8"/>
    <w:rsid w:val="00EC0CDA"/>
    <w:rsid w:val="00F17D7D"/>
    <w:rsid w:val="00F637FF"/>
    <w:rsid w:val="00F6776A"/>
    <w:rsid w:val="00F717DE"/>
    <w:rsid w:val="00FB4E91"/>
    <w:rsid w:val="00FE76D0"/>
    <w:rsid w:val="00FF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632C0A"/>
  <w15:chartTrackingRefBased/>
  <w15:docId w15:val="{177E6AC7-9FDE-4905-89AC-F153A5D7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81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581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F637FF"/>
    <w:pPr>
      <w:ind w:left="720"/>
      <w:contextualSpacing/>
    </w:pPr>
  </w:style>
  <w:style w:type="character" w:styleId="CommentReference">
    <w:name w:val="annotation reference"/>
    <w:basedOn w:val="DefaultParagraphFont"/>
    <w:uiPriority w:val="99"/>
    <w:semiHidden/>
    <w:unhideWhenUsed/>
    <w:rsid w:val="00D5309A"/>
    <w:rPr>
      <w:sz w:val="16"/>
      <w:szCs w:val="16"/>
    </w:rPr>
  </w:style>
  <w:style w:type="paragraph" w:styleId="CommentText">
    <w:name w:val="annotation text"/>
    <w:basedOn w:val="Normal"/>
    <w:link w:val="CommentTextChar"/>
    <w:uiPriority w:val="99"/>
    <w:semiHidden/>
    <w:unhideWhenUsed/>
    <w:rsid w:val="00D5309A"/>
    <w:pPr>
      <w:spacing w:line="240" w:lineRule="auto"/>
    </w:pPr>
    <w:rPr>
      <w:sz w:val="20"/>
      <w:szCs w:val="20"/>
    </w:rPr>
  </w:style>
  <w:style w:type="character" w:customStyle="1" w:styleId="CommentTextChar">
    <w:name w:val="Comment Text Char"/>
    <w:basedOn w:val="DefaultParagraphFont"/>
    <w:link w:val="CommentText"/>
    <w:uiPriority w:val="99"/>
    <w:semiHidden/>
    <w:rsid w:val="00D5309A"/>
    <w:rPr>
      <w:sz w:val="20"/>
      <w:szCs w:val="20"/>
    </w:rPr>
  </w:style>
  <w:style w:type="paragraph" w:styleId="CommentSubject">
    <w:name w:val="annotation subject"/>
    <w:basedOn w:val="CommentText"/>
    <w:next w:val="CommentText"/>
    <w:link w:val="CommentSubjectChar"/>
    <w:uiPriority w:val="99"/>
    <w:semiHidden/>
    <w:unhideWhenUsed/>
    <w:rsid w:val="00D5309A"/>
    <w:rPr>
      <w:b/>
      <w:bCs/>
    </w:rPr>
  </w:style>
  <w:style w:type="character" w:customStyle="1" w:styleId="CommentSubjectChar">
    <w:name w:val="Comment Subject Char"/>
    <w:basedOn w:val="CommentTextChar"/>
    <w:link w:val="CommentSubject"/>
    <w:uiPriority w:val="99"/>
    <w:semiHidden/>
    <w:rsid w:val="00D5309A"/>
    <w:rPr>
      <w:b/>
      <w:bCs/>
      <w:sz w:val="20"/>
      <w:szCs w:val="20"/>
    </w:rPr>
  </w:style>
  <w:style w:type="paragraph" w:styleId="BalloonText">
    <w:name w:val="Balloon Text"/>
    <w:basedOn w:val="Normal"/>
    <w:link w:val="BalloonTextChar"/>
    <w:uiPriority w:val="99"/>
    <w:semiHidden/>
    <w:unhideWhenUsed/>
    <w:rsid w:val="00D53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09A"/>
    <w:rPr>
      <w:rFonts w:ascii="Segoe UI" w:hAnsi="Segoe UI" w:cs="Segoe UI"/>
      <w:sz w:val="18"/>
      <w:szCs w:val="18"/>
    </w:rPr>
  </w:style>
  <w:style w:type="paragraph" w:styleId="NormalWeb">
    <w:name w:val="Normal (Web)"/>
    <w:basedOn w:val="Normal"/>
    <w:uiPriority w:val="99"/>
    <w:semiHidden/>
    <w:unhideWhenUsed/>
    <w:rsid w:val="00F717D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0682C"/>
    <w:pPr>
      <w:spacing w:after="0" w:line="240" w:lineRule="auto"/>
    </w:pPr>
  </w:style>
  <w:style w:type="paragraph" w:customStyle="1" w:styleId="Title3">
    <w:name w:val="Title 3"/>
    <w:basedOn w:val="Normal"/>
    <w:uiPriority w:val="99"/>
    <w:rsid w:val="00560E8B"/>
    <w:pPr>
      <w:widowControl w:val="0"/>
      <w:autoSpaceDE w:val="0"/>
      <w:autoSpaceDN w:val="0"/>
      <w:adjustRightInd w:val="0"/>
      <w:spacing w:after="0" w:line="240" w:lineRule="auto"/>
      <w:jc w:val="center"/>
    </w:pPr>
    <w:rPr>
      <w:rFonts w:ascii="Arial" w:eastAsia="Times New Roman" w:hAnsi="Arial" w:cs="Arial"/>
      <w:b/>
      <w:sz w:val="18"/>
      <w:szCs w:val="18"/>
    </w:rPr>
  </w:style>
  <w:style w:type="paragraph" w:customStyle="1" w:styleId="Seperator">
    <w:name w:val="Seperator"/>
    <w:basedOn w:val="Normal"/>
    <w:link w:val="SeperatorChar"/>
    <w:uiPriority w:val="99"/>
    <w:rsid w:val="00170756"/>
    <w:pPr>
      <w:spacing w:after="0" w:line="240" w:lineRule="auto"/>
    </w:pPr>
    <w:rPr>
      <w:rFonts w:ascii="Calibri" w:eastAsia="Times New Roman" w:hAnsi="Calibri" w:cs="Arial"/>
      <w:sz w:val="3"/>
      <w:szCs w:val="3"/>
    </w:rPr>
  </w:style>
  <w:style w:type="character" w:customStyle="1" w:styleId="SeperatorChar">
    <w:name w:val="Seperator Char"/>
    <w:basedOn w:val="DefaultParagraphFont"/>
    <w:link w:val="Seperator"/>
    <w:uiPriority w:val="99"/>
    <w:rsid w:val="00170756"/>
    <w:rPr>
      <w:rFonts w:ascii="Calibri" w:eastAsia="Times New Roman" w:hAnsi="Calibri" w:cs="Arial"/>
      <w:sz w:val="3"/>
      <w:szCs w:val="3"/>
    </w:rPr>
  </w:style>
  <w:style w:type="paragraph" w:customStyle="1" w:styleId="Default">
    <w:name w:val="Default"/>
    <w:rsid w:val="004136B2"/>
    <w:pPr>
      <w:autoSpaceDE w:val="0"/>
      <w:autoSpaceDN w:val="0"/>
      <w:adjustRightInd w:val="0"/>
      <w:spacing w:after="0" w:line="240" w:lineRule="auto"/>
    </w:pPr>
    <w:rPr>
      <w:rFonts w:ascii="Myriad Pro" w:hAnsi="Myriad Pro" w:cs="Myriad Pro"/>
      <w:color w:val="000000"/>
      <w:sz w:val="24"/>
      <w:szCs w:val="24"/>
    </w:rPr>
  </w:style>
  <w:style w:type="character" w:customStyle="1" w:styleId="A10">
    <w:name w:val="A10"/>
    <w:uiPriority w:val="99"/>
    <w:rsid w:val="000F560B"/>
    <w:rPr>
      <w:rFonts w:cs="Myriad Pro"/>
      <w:color w:val="000000"/>
      <w:sz w:val="12"/>
      <w:szCs w:val="12"/>
    </w:rPr>
  </w:style>
  <w:style w:type="character" w:customStyle="1" w:styleId="A8">
    <w:name w:val="A8"/>
    <w:uiPriority w:val="99"/>
    <w:rsid w:val="00083D5A"/>
    <w:rPr>
      <w:rFonts w:cs="Myriad Pro"/>
      <w:color w:val="000000"/>
      <w:sz w:val="22"/>
      <w:szCs w:val="22"/>
    </w:rPr>
  </w:style>
  <w:style w:type="character" w:customStyle="1" w:styleId="A9">
    <w:name w:val="A9"/>
    <w:uiPriority w:val="99"/>
    <w:rsid w:val="00083D5A"/>
    <w:rPr>
      <w:rFonts w:cs="Myriad Pro"/>
      <w:color w:val="000000"/>
      <w:sz w:val="22"/>
      <w:szCs w:val="22"/>
      <w:u w:val="single"/>
    </w:rPr>
  </w:style>
  <w:style w:type="paragraph" w:styleId="ListBullet">
    <w:name w:val="List Bullet"/>
    <w:basedOn w:val="Normal"/>
    <w:uiPriority w:val="7"/>
    <w:rsid w:val="001D6996"/>
    <w:pPr>
      <w:numPr>
        <w:numId w:val="15"/>
      </w:numPr>
      <w:spacing w:line="312" w:lineRule="auto"/>
      <w:contextualSpacing/>
    </w:pPr>
  </w:style>
  <w:style w:type="paragraph" w:customStyle="1" w:styleId="Pa1">
    <w:name w:val="Pa1"/>
    <w:basedOn w:val="Default"/>
    <w:next w:val="Default"/>
    <w:uiPriority w:val="99"/>
    <w:rsid w:val="00065E4C"/>
    <w:pPr>
      <w:spacing w:line="281" w:lineRule="atLeast"/>
    </w:pPr>
    <w:rPr>
      <w:rFonts w:ascii="Myriad Pro SemiCond" w:hAnsi="Myriad Pro SemiCond" w:cstheme="minorBidi"/>
      <w:color w:val="auto"/>
    </w:rPr>
  </w:style>
  <w:style w:type="paragraph" w:customStyle="1" w:styleId="Pa13">
    <w:name w:val="Pa13"/>
    <w:basedOn w:val="Default"/>
    <w:next w:val="Default"/>
    <w:uiPriority w:val="99"/>
    <w:rsid w:val="003E266F"/>
    <w:pPr>
      <w:spacing w:line="241" w:lineRule="atLeast"/>
    </w:pPr>
    <w:rPr>
      <w:rFonts w:cstheme="minorBidi"/>
      <w:color w:val="auto"/>
    </w:rPr>
  </w:style>
  <w:style w:type="character" w:customStyle="1" w:styleId="A5">
    <w:name w:val="A5"/>
    <w:uiPriority w:val="99"/>
    <w:rsid w:val="0072416D"/>
    <w:rPr>
      <w:rFonts w:cs="Myriad Pro"/>
      <w:color w:val="000000"/>
      <w:sz w:val="22"/>
      <w:szCs w:val="22"/>
    </w:rPr>
  </w:style>
  <w:style w:type="paragraph" w:customStyle="1" w:styleId="Pa8">
    <w:name w:val="Pa8"/>
    <w:basedOn w:val="Default"/>
    <w:next w:val="Default"/>
    <w:uiPriority w:val="99"/>
    <w:rsid w:val="0072416D"/>
    <w:pPr>
      <w:spacing w:line="221" w:lineRule="atLeast"/>
    </w:pPr>
    <w:rPr>
      <w:rFonts w:cstheme="minorBidi"/>
      <w:color w:val="auto"/>
    </w:rPr>
  </w:style>
  <w:style w:type="character" w:customStyle="1" w:styleId="A4">
    <w:name w:val="A4"/>
    <w:uiPriority w:val="99"/>
    <w:rsid w:val="00E110B4"/>
    <w:rPr>
      <w:rFonts w:cs="Myriad Pro"/>
      <w:color w:val="000000"/>
      <w:sz w:val="28"/>
      <w:szCs w:val="28"/>
      <w:u w:val="single"/>
    </w:rPr>
  </w:style>
  <w:style w:type="paragraph" w:customStyle="1" w:styleId="Pa5">
    <w:name w:val="Pa5"/>
    <w:basedOn w:val="Default"/>
    <w:next w:val="Default"/>
    <w:uiPriority w:val="99"/>
    <w:rsid w:val="00E110B4"/>
    <w:pPr>
      <w:spacing w:line="281" w:lineRule="atLeast"/>
    </w:pPr>
    <w:rPr>
      <w:rFonts w:cstheme="minorBidi"/>
      <w:color w:val="auto"/>
    </w:rPr>
  </w:style>
  <w:style w:type="character" w:customStyle="1" w:styleId="Heading1Char">
    <w:name w:val="Heading 1 Char"/>
    <w:basedOn w:val="DefaultParagraphFont"/>
    <w:link w:val="Heading1"/>
    <w:uiPriority w:val="9"/>
    <w:rsid w:val="00CF58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F5813"/>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CF5813"/>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CF5813"/>
  </w:style>
  <w:style w:type="character" w:customStyle="1" w:styleId="eop">
    <w:name w:val="eop"/>
    <w:basedOn w:val="DefaultParagraphFont"/>
    <w:rsid w:val="00CF5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2901">
      <w:bodyDiv w:val="1"/>
      <w:marLeft w:val="0"/>
      <w:marRight w:val="0"/>
      <w:marTop w:val="0"/>
      <w:marBottom w:val="0"/>
      <w:divBdr>
        <w:top w:val="none" w:sz="0" w:space="0" w:color="auto"/>
        <w:left w:val="none" w:sz="0" w:space="0" w:color="auto"/>
        <w:bottom w:val="none" w:sz="0" w:space="0" w:color="auto"/>
        <w:right w:val="none" w:sz="0" w:space="0" w:color="auto"/>
      </w:divBdr>
    </w:div>
    <w:div w:id="372779627">
      <w:bodyDiv w:val="1"/>
      <w:marLeft w:val="0"/>
      <w:marRight w:val="0"/>
      <w:marTop w:val="0"/>
      <w:marBottom w:val="0"/>
      <w:divBdr>
        <w:top w:val="none" w:sz="0" w:space="0" w:color="auto"/>
        <w:left w:val="none" w:sz="0" w:space="0" w:color="auto"/>
        <w:bottom w:val="none" w:sz="0" w:space="0" w:color="auto"/>
        <w:right w:val="none" w:sz="0" w:space="0" w:color="auto"/>
      </w:divBdr>
    </w:div>
    <w:div w:id="521863237">
      <w:bodyDiv w:val="1"/>
      <w:marLeft w:val="0"/>
      <w:marRight w:val="0"/>
      <w:marTop w:val="0"/>
      <w:marBottom w:val="0"/>
      <w:divBdr>
        <w:top w:val="none" w:sz="0" w:space="0" w:color="auto"/>
        <w:left w:val="none" w:sz="0" w:space="0" w:color="auto"/>
        <w:bottom w:val="none" w:sz="0" w:space="0" w:color="auto"/>
        <w:right w:val="none" w:sz="0" w:space="0" w:color="auto"/>
      </w:divBdr>
    </w:div>
    <w:div w:id="1055933774">
      <w:bodyDiv w:val="1"/>
      <w:marLeft w:val="0"/>
      <w:marRight w:val="0"/>
      <w:marTop w:val="0"/>
      <w:marBottom w:val="0"/>
      <w:divBdr>
        <w:top w:val="none" w:sz="0" w:space="0" w:color="auto"/>
        <w:left w:val="none" w:sz="0" w:space="0" w:color="auto"/>
        <w:bottom w:val="none" w:sz="0" w:space="0" w:color="auto"/>
        <w:right w:val="none" w:sz="0" w:space="0" w:color="auto"/>
      </w:divBdr>
    </w:div>
    <w:div w:id="1406105238">
      <w:bodyDiv w:val="1"/>
      <w:marLeft w:val="0"/>
      <w:marRight w:val="0"/>
      <w:marTop w:val="0"/>
      <w:marBottom w:val="0"/>
      <w:divBdr>
        <w:top w:val="none" w:sz="0" w:space="0" w:color="auto"/>
        <w:left w:val="none" w:sz="0" w:space="0" w:color="auto"/>
        <w:bottom w:val="none" w:sz="0" w:space="0" w:color="auto"/>
        <w:right w:val="none" w:sz="0" w:space="0" w:color="auto"/>
      </w:divBdr>
    </w:div>
    <w:div w:id="1645693168">
      <w:bodyDiv w:val="1"/>
      <w:marLeft w:val="0"/>
      <w:marRight w:val="0"/>
      <w:marTop w:val="0"/>
      <w:marBottom w:val="0"/>
      <w:divBdr>
        <w:top w:val="none" w:sz="0" w:space="0" w:color="auto"/>
        <w:left w:val="none" w:sz="0" w:space="0" w:color="auto"/>
        <w:bottom w:val="none" w:sz="0" w:space="0" w:color="auto"/>
        <w:right w:val="none" w:sz="0" w:space="0" w:color="auto"/>
      </w:divBdr>
    </w:div>
    <w:div w:id="2019692149">
      <w:bodyDiv w:val="1"/>
      <w:marLeft w:val="0"/>
      <w:marRight w:val="0"/>
      <w:marTop w:val="0"/>
      <w:marBottom w:val="0"/>
      <w:divBdr>
        <w:top w:val="none" w:sz="0" w:space="0" w:color="auto"/>
        <w:left w:val="none" w:sz="0" w:space="0" w:color="auto"/>
        <w:bottom w:val="none" w:sz="0" w:space="0" w:color="auto"/>
        <w:right w:val="none" w:sz="0" w:space="0" w:color="auto"/>
      </w:divBdr>
    </w:div>
    <w:div w:id="20286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0303-50AD-4338-B2E6-1D5D3984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Tencza, Brian (ATSDR/DTHHS/EMB)</dc:creator>
  <cp:keywords/>
  <dc:description/>
  <cp:lastModifiedBy>Berman, Laurel A. (ATSDR/OAD/OCDAPS)</cp:lastModifiedBy>
  <cp:revision>5</cp:revision>
  <cp:lastPrinted>2020-05-11T20:13:00Z</cp:lastPrinted>
  <dcterms:created xsi:type="dcterms:W3CDTF">2020-10-27T14:39:00Z</dcterms:created>
  <dcterms:modified xsi:type="dcterms:W3CDTF">2020-10-29T14:02:00Z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2020-10-27T14:39:24Z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028fa1a9-6ee3-4450-998f-286ad10c4024</vt:lpwstr>
  </property>
  <property fmtid="{D5CDD505-2E9C-101B-9397-08002B2CF9AE}" pid="8" name="MSIP_Label_7b94a7b8-f06c-4dfe-bdcc-9b548fd58c31_ContentBits">
    <vt:lpwstr>0</vt:lpwstr>
  </property>
</Properties>
</file>